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9855"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4927"/>
        <w:gridCol w:w="4927"/>
      </w:tblGrid>
      <w:tr>
        <w:trPr/>
        <w:tc>
          <w:tcPr>
            <w:tcW w:w="4927"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tc>
        <w:tc>
          <w:tcPr>
            <w:tcW w:w="4927"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shd w:fill="auto" w:val="clear"/>
              </w:rPr>
            </w:pPr>
            <w:r>
              <w:rPr>
                <w:rFonts w:eastAsia="Calibri" w:cs="Times New Roman" w:ascii="Times New Roman" w:hAnsi="Times New Roman" w:eastAsiaTheme="minorHAnsi"/>
                <w:kern w:val="0"/>
                <w:sz w:val="24"/>
                <w:szCs w:val="24"/>
                <w:shd w:fill="auto" w:val="clear"/>
                <w:lang w:eastAsia="en-US" w:bidi="ar-SA"/>
              </w:rPr>
              <w:t xml:space="preserve">Додаток </w:t>
            </w:r>
            <w:r>
              <w:rPr>
                <w:rFonts w:eastAsia="Calibri" w:cs="Times New Roman" w:ascii="Times New Roman" w:hAnsi="Times New Roman" w:eastAsiaTheme="minorHAnsi"/>
                <w:kern w:val="0"/>
                <w:sz w:val="24"/>
                <w:szCs w:val="24"/>
                <w:shd w:fill="auto" w:val="clear"/>
                <w:lang w:val="ru-RU" w:eastAsia="en-US" w:bidi="ar-SA"/>
              </w:rPr>
              <w:t>2</w:t>
            </w:r>
          </w:p>
          <w:p>
            <w:pPr>
              <w:pStyle w:val="Normal"/>
              <w:widowControl w:val="false"/>
              <w:suppressAutoHyphens w:val="true"/>
              <w:spacing w:lineRule="auto" w:line="240" w:before="0" w:after="0"/>
              <w:jc w:val="right"/>
              <w:rPr>
                <w:rFonts w:ascii="Times New Roman" w:hAnsi="Times New Roman" w:cs="Times New Roman"/>
                <w:sz w:val="24"/>
                <w:szCs w:val="24"/>
                <w:shd w:fill="auto" w:val="clear"/>
              </w:rPr>
            </w:pPr>
            <w:r>
              <w:rPr>
                <w:rFonts w:eastAsia="Calibri" w:cs="Times New Roman" w:ascii="Times New Roman" w:hAnsi="Times New Roman" w:eastAsiaTheme="minorHAnsi"/>
                <w:kern w:val="0"/>
                <w:sz w:val="24"/>
                <w:szCs w:val="24"/>
                <w:shd w:fill="auto" w:val="clear"/>
                <w:lang w:val="uk-UA" w:eastAsia="en-US" w:bidi="ar-SA"/>
              </w:rPr>
              <w:t>До Протоколу Наглядової ради</w:t>
            </w:r>
          </w:p>
          <w:p>
            <w:pPr>
              <w:pStyle w:val="Normal"/>
              <w:widowControl w:val="false"/>
              <w:suppressAutoHyphens w:val="true"/>
              <w:spacing w:lineRule="auto" w:line="240" w:before="0" w:after="0"/>
              <w:jc w:val="right"/>
              <w:rPr>
                <w:rFonts w:ascii="Times New Roman" w:hAnsi="Times New Roman" w:cs="Times New Roman"/>
                <w:sz w:val="24"/>
                <w:szCs w:val="24"/>
                <w:shd w:fill="auto" w:val="clear"/>
              </w:rPr>
            </w:pPr>
            <w:r>
              <w:rPr>
                <w:rFonts w:eastAsia="Calibri" w:cs="Times New Roman" w:ascii="Times New Roman" w:hAnsi="Times New Roman" w:eastAsiaTheme="minorHAnsi"/>
                <w:kern w:val="0"/>
                <w:sz w:val="24"/>
                <w:szCs w:val="24"/>
                <w:shd w:fill="auto" w:val="clear"/>
                <w:lang w:val="uk-UA" w:eastAsia="en-US" w:bidi="ar-SA"/>
              </w:rPr>
              <w:t xml:space="preserve">  </w:t>
            </w:r>
            <w:r>
              <w:rPr>
                <w:rFonts w:eastAsia="Calibri" w:cs="Times New Roman" w:ascii="Times New Roman" w:hAnsi="Times New Roman" w:eastAsiaTheme="minorHAnsi"/>
                <w:kern w:val="0"/>
                <w:sz w:val="24"/>
                <w:szCs w:val="24"/>
                <w:shd w:fill="auto" w:val="clear"/>
                <w:lang w:val="uk-UA" w:eastAsia="en-US" w:bidi="ar-SA"/>
              </w:rPr>
              <w:t xml:space="preserve">від «27» </w:t>
            </w:r>
            <w:r>
              <w:rPr>
                <w:rFonts w:eastAsia="Calibri" w:cs="Times New Roman" w:ascii="Times New Roman" w:hAnsi="Times New Roman" w:eastAsiaTheme="minorHAnsi"/>
                <w:color w:val="000000"/>
                <w:kern w:val="0"/>
                <w:sz w:val="24"/>
                <w:szCs w:val="24"/>
                <w:shd w:fill="auto" w:val="clear"/>
                <w:lang w:val="uk-UA" w:eastAsia="en-US" w:bidi="ar-SA"/>
              </w:rPr>
              <w:t>серпня</w:t>
            </w:r>
            <w:r>
              <w:rPr>
                <w:rFonts w:eastAsia="Calibri" w:cs="Times New Roman" w:ascii="Times New Roman" w:hAnsi="Times New Roman" w:eastAsiaTheme="minorHAnsi"/>
                <w:kern w:val="0"/>
                <w:sz w:val="24"/>
                <w:szCs w:val="24"/>
                <w:shd w:fill="auto" w:val="clear"/>
                <w:lang w:val="uk-UA" w:eastAsia="en-US" w:bidi="ar-SA"/>
              </w:rPr>
              <w:t xml:space="preserve"> 2021 року</w:t>
            </w:r>
            <w:r>
              <w:rPr>
                <w:rFonts w:eastAsia="Calibri" w:cs="Times New Roman" w:ascii="Times New Roman" w:hAnsi="Times New Roman"/>
                <w:kern w:val="0"/>
                <w:sz w:val="24"/>
                <w:szCs w:val="24"/>
                <w:shd w:fill="auto" w:val="clear"/>
                <w:lang w:val="uk-UA" w:eastAsia="en-US" w:bidi="ar-SA"/>
              </w:rPr>
              <w:t>.</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КОНКУРСНА ДОКУМЕНТАЦІЯ</w:t>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 xml:space="preserve">з відбору на конкурсних засадах суб’єктів аудиторської діяльності </w:t>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для  проведення аудиту фінансової звітності ПрАТ СК “ГРАНДВІС”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за 2021 рік та 2022 рік.</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sz w:val="24"/>
          <w:szCs w:val="24"/>
        </w:rPr>
      </w:pPr>
      <w:r>
        <w:rPr>
          <w:rFonts w:cs="Times New Roman" w:ascii="Times New Roman" w:hAnsi="Times New Roman"/>
          <w:b/>
          <w:i/>
          <w:sz w:val="24"/>
          <w:szCs w:val="24"/>
        </w:rPr>
        <w:t>Метою проведення конкурсу</w:t>
      </w:r>
      <w:r>
        <w:rPr>
          <w:rFonts w:cs="Times New Roman" w:ascii="Times New Roman" w:hAnsi="Times New Roman"/>
          <w:sz w:val="24"/>
          <w:szCs w:val="24"/>
        </w:rPr>
        <w:t xml:space="preserve"> є відбір на конкурсних засадах суб’єктів аудиторської діяльності для  проведення аудиту фінансової звітності Приватного акціонерного товариства “Страхова компанія “Грандвіс” (далі — ПрАТ СК “ГРАНДВІС” або Товариство) </w:t>
      </w:r>
      <w:r>
        <w:rPr>
          <w:rFonts w:cs="Times New Roman" w:ascii="Times New Roman" w:hAnsi="Times New Roman"/>
          <w:b/>
          <w:sz w:val="24"/>
          <w:szCs w:val="24"/>
        </w:rPr>
        <w:t>за  2021 рік  та 2022 рік.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sz w:val="24"/>
          <w:szCs w:val="24"/>
        </w:rPr>
      </w:pPr>
      <w:r>
        <w:rPr>
          <w:rFonts w:cs="Times New Roman" w:ascii="Times New Roman" w:hAnsi="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Умови та порядок проведення конкурсу</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Інформація про процедуру:</w:t>
      </w:r>
    </w:p>
    <w:tbl>
      <w:tblPr>
        <w:tblStyle w:val="a4"/>
        <w:tblW w:w="985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838"/>
        <w:gridCol w:w="4016"/>
      </w:tblGrid>
      <w:tr>
        <w:trPr/>
        <w:tc>
          <w:tcPr>
            <w:tcW w:w="58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Кінцевий строк приймання конкурсних пропозицій</w:t>
            </w:r>
          </w:p>
        </w:tc>
        <w:tc>
          <w:tcPr>
            <w:tcW w:w="4016"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О 12 годині 00 хвили</w:t>
            </w:r>
            <w:r>
              <w:rPr>
                <w:rFonts w:eastAsia="Calibri" w:cs="Times New Roman" w:ascii="Times New Roman" w:hAnsi="Times New Roman"/>
                <w:kern w:val="0"/>
                <w:sz w:val="24"/>
                <w:szCs w:val="24"/>
                <w:shd w:fill="auto" w:val="clear"/>
                <w:lang w:val="uk-UA" w:eastAsia="en-US" w:bidi="ar-SA"/>
              </w:rPr>
              <w:t xml:space="preserve">н </w:t>
            </w:r>
            <w:r>
              <w:rPr>
                <w:rFonts w:eastAsia="Calibri" w:cs="Times New Roman" w:ascii="Times New Roman" w:hAnsi="Times New Roman" w:eastAsiaTheme="minorHAnsi"/>
                <w:kern w:val="0"/>
                <w:sz w:val="24"/>
                <w:szCs w:val="24"/>
                <w:shd w:fill="auto" w:val="clear"/>
                <w:lang w:val="ru-RU" w:eastAsia="en-US" w:bidi="ar-SA"/>
              </w:rPr>
              <w:t>29</w:t>
            </w:r>
            <w:r>
              <w:rPr>
                <w:rFonts w:eastAsia="Calibri" w:cs="Times New Roman" w:ascii="Times New Roman" w:hAnsi="Times New Roman"/>
                <w:kern w:val="0"/>
                <w:sz w:val="24"/>
                <w:szCs w:val="24"/>
                <w:shd w:fill="auto" w:val="clear"/>
                <w:lang w:val="uk-UA" w:eastAsia="en-US" w:bidi="ar-SA"/>
              </w:rPr>
              <w:t>.10</w:t>
            </w:r>
            <w:r>
              <w:rPr>
                <w:rFonts w:eastAsia="Calibri" w:cs="Times New Roman" w:ascii="Times New Roman" w:hAnsi="Times New Roman"/>
                <w:kern w:val="0"/>
                <w:sz w:val="24"/>
                <w:szCs w:val="24"/>
                <w:lang w:val="uk-UA" w:eastAsia="en-US" w:bidi="ar-SA"/>
              </w:rPr>
              <w:t>.2021</w:t>
            </w:r>
          </w:p>
        </w:tc>
      </w:tr>
      <w:tr>
        <w:trPr/>
        <w:tc>
          <w:tcPr>
            <w:tcW w:w="5838" w:type="dxa"/>
            <w:tcBorders/>
          </w:tcPr>
          <w:p>
            <w:pPr>
              <w:pStyle w:val="Style17"/>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serif" w:hAnsi="Times New Roman;serif"/>
                <w:b w:val="false"/>
                <w:i w:val="false"/>
                <w:caps w:val="false"/>
                <w:smallCaps w:val="false"/>
                <w:color w:val="000000"/>
                <w:spacing w:val="0"/>
                <w:kern w:val="0"/>
                <w:sz w:val="24"/>
                <w:szCs w:val="24"/>
                <w:lang w:val="uk-UA" w:eastAsia="en-US" w:bidi="ar-SA"/>
              </w:rPr>
              <w:t>Визначення результатів конкурсу</w:t>
            </w:r>
          </w:p>
        </w:tc>
        <w:tc>
          <w:tcPr>
            <w:tcW w:w="4016" w:type="dxa"/>
            <w:tcBorders/>
          </w:tcPr>
          <w:p>
            <w:pPr>
              <w:pStyle w:val="Normal"/>
              <w:widowControl w:val="false"/>
              <w:suppressAutoHyphens w:val="true"/>
              <w:spacing w:lineRule="auto" w:line="240" w:before="0" w:after="0"/>
              <w:jc w:val="both"/>
              <w:rPr>
                <w:rFonts w:ascii="Times New Roman;serif" w:hAnsi="Times New Roman;serif" w:eastAsia="Calibri" w:cs="Times New Roman" w:eastAsiaTheme="minorHAnsi"/>
                <w:color w:val="auto"/>
                <w:kern w:val="0"/>
                <w:sz w:val="24"/>
                <w:szCs w:val="24"/>
                <w:lang w:val="uk-UA" w:eastAsia="en-US" w:bidi="ar-SA"/>
              </w:rPr>
            </w:pPr>
            <w:r>
              <w:rPr>
                <w:rFonts w:eastAsia="Calibri" w:cs="Times New Roman" w:ascii="Times New Roman;serif" w:hAnsi="Times New Roman;serif" w:eastAsiaTheme="minorHAnsi"/>
                <w:color w:val="auto"/>
                <w:kern w:val="0"/>
                <w:sz w:val="24"/>
                <w:szCs w:val="24"/>
                <w:lang w:val="uk-UA" w:eastAsia="en-US" w:bidi="ar-SA"/>
              </w:rPr>
              <w:t>01.11.2021 р.</w:t>
            </w:r>
          </w:p>
        </w:tc>
      </w:tr>
    </w:tbl>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Суб’єкт аудиторської діяльності для участі у Конкурсі має відповідати вимогам, визначеним Законом України  «Про аудит фінансової звітності та аудиторську діяльність», а також таким критеріям:</w:t>
      </w:r>
    </w:p>
    <w:p>
      <w:pPr>
        <w:pStyle w:val="ListParagraph"/>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відповідають вимогам, встановленим Законом України  «Про аудит фінансової звітності та аудиторську діяльність» щодо права надавати послуги з обов’язкового аудиту фінансової звітності підприємств, що становлять суспільний інтерес;</w:t>
      </w:r>
    </w:p>
    <w:p>
      <w:pPr>
        <w:pStyle w:val="ListParagraph"/>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включені до відповідного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pPr>
        <w:pStyle w:val="ListParagraph"/>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аудиторська фірма та її працівники протягом останніх 2-х років не мають дисциплінарних стягнень з боку Аудиторської палати України;</w:t>
      </w:r>
    </w:p>
    <w:p>
      <w:pPr>
        <w:pStyle w:val="ListParagraph"/>
        <w:numPr>
          <w:ilvl w:val="0"/>
          <w:numId w:val="1"/>
        </w:numPr>
        <w:spacing w:lineRule="auto" w:line="240" w:before="0" w:after="0"/>
        <w:ind w:left="0" w:firstLine="993"/>
        <w:contextualSpacing/>
        <w:jc w:val="both"/>
        <w:rPr>
          <w:rFonts w:ascii="Times New Roman" w:hAnsi="Times New Roman"/>
          <w:sz w:val="24"/>
          <w:szCs w:val="24"/>
        </w:rPr>
      </w:pPr>
      <w:r>
        <w:rPr>
          <w:rFonts w:cs="Times New Roman" w:ascii="Times New Roman" w:hAnsi="Times New Roman"/>
          <w:sz w:val="24"/>
          <w:szCs w:val="24"/>
        </w:rPr>
        <w:t>за попередній річний звітний період суми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pPr>
        <w:pStyle w:val="ListParagraph"/>
        <w:numPr>
          <w:ilvl w:val="0"/>
          <w:numId w:val="1"/>
        </w:numPr>
        <w:spacing w:lineRule="auto" w:line="240" w:before="0" w:after="0"/>
        <w:ind w:left="0" w:firstLine="993"/>
        <w:contextualSpacing/>
        <w:jc w:val="both"/>
        <w:rPr>
          <w:rFonts w:ascii="Times New Roman" w:hAnsi="Times New Roman"/>
          <w:sz w:val="24"/>
          <w:szCs w:val="24"/>
        </w:rPr>
      </w:pPr>
      <w:r>
        <w:rPr>
          <w:rFonts w:cs="Times New Roman" w:ascii="Times New Roman" w:hAnsi="Times New Roman"/>
          <w:sz w:val="24"/>
          <w:szCs w:val="24"/>
        </w:rPr>
        <w:t>не має обмежень, пов’язаних із тривалістю надання послуг Товариству;</w:t>
      </w:r>
    </w:p>
    <w:p>
      <w:pPr>
        <w:pStyle w:val="ListParagraph"/>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shd w:fill="auto" w:val="clear"/>
        </w:rPr>
        <w:t>може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pPr>
        <w:pStyle w:val="ListParagraph"/>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три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pPr>
        <w:pStyle w:val="Normal"/>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кваліфікація аудиторів які безпосередньо будуть виконувати завдання, окрім сертифікатів аудитора, повинна бути підтверджена дипломами що підтверджують високий рівень знань з МСФЗ , а саме: IFA, ACCA,ICFM, у т.ч. фінансовий контролер;</w:t>
      </w:r>
    </w:p>
    <w:p>
      <w:pPr>
        <w:pStyle w:val="Normal"/>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пройшов перевірку контролю якості аудиторських послуг, здійснену у відповідності до вимог чинного законодавства;</w:t>
      </w:r>
    </w:p>
    <w:p>
      <w:pPr>
        <w:pStyle w:val="Normal"/>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має чинний договір страхування цивільно-правової відповідальності перед третіми особами, укладений відповідно до положень чинного законодавства;</w:t>
      </w:r>
    </w:p>
    <w:p>
      <w:pPr>
        <w:pStyle w:val="Normal"/>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має досвід виконання протягом останніх трьох років не менше двох завдань з аудиту фінансових установ які застосовують концепцію МСФЗ протягом останніх двох років поспіль;</w:t>
      </w:r>
    </w:p>
    <w:p>
      <w:pPr>
        <w:pStyle w:val="Normal"/>
        <w:numPr>
          <w:ilvl w:val="0"/>
          <w:numId w:val="1"/>
        </w:numPr>
        <w:spacing w:lineRule="auto" w:line="240" w:before="0" w:after="0"/>
        <w:ind w:left="0" w:firstLine="927"/>
        <w:contextualSpacing/>
        <w:jc w:val="both"/>
        <w:rPr>
          <w:rFonts w:ascii="Times New Roman" w:hAnsi="Times New Roman"/>
          <w:sz w:val="24"/>
          <w:szCs w:val="24"/>
        </w:rPr>
      </w:pPr>
      <w:r>
        <w:rPr>
          <w:rFonts w:cs="Times New Roman" w:ascii="Times New Roman" w:hAnsi="Times New Roman"/>
          <w:sz w:val="24"/>
          <w:szCs w:val="24"/>
        </w:rPr>
        <w:t>має досвід виконання протягом останніх трьох років не менше двох завдань з аудиту страхових компаній;</w:t>
      </w:r>
      <w:r>
        <w:rPr>
          <w:rFonts w:ascii="Times New Roman" w:hAnsi="Times New Roman"/>
          <w:sz w:val="24"/>
          <w:szCs w:val="24"/>
        </w:rPr>
        <w:t xml:space="preserve"> </w:t>
      </w:r>
    </w:p>
    <w:p>
      <w:pPr>
        <w:pStyle w:val="Normal"/>
        <w:numPr>
          <w:ilvl w:val="0"/>
          <w:numId w:val="1"/>
        </w:numPr>
        <w:spacing w:lineRule="auto" w:line="240" w:before="0" w:after="0"/>
        <w:ind w:left="0" w:firstLine="927"/>
        <w:contextualSpacing/>
        <w:jc w:val="both"/>
        <w:rPr>
          <w:rFonts w:ascii="Times New Roman" w:hAnsi="Times New Roman"/>
          <w:sz w:val="24"/>
          <w:szCs w:val="24"/>
        </w:rPr>
      </w:pPr>
      <w:r>
        <w:rPr>
          <w:rFonts w:ascii="Times New Roman" w:hAnsi="Times New Roman"/>
          <w:sz w:val="24"/>
          <w:szCs w:val="24"/>
        </w:rPr>
        <w:t>суб'єкт аудиторської діяльності, ключовий партнер з аудиту, аудитори, які залучаються до виконання відповідного завдання, є незалежними від підприємства, якому надаються послуги з аудиту.</w:t>
      </w:r>
    </w:p>
    <w:p>
      <w:pPr>
        <w:pStyle w:val="Normal"/>
        <w:numPr>
          <w:ilvl w:val="0"/>
          <w:numId w:val="0"/>
        </w:numPr>
        <w:spacing w:lineRule="auto" w:line="240" w:before="0" w:after="0"/>
        <w:ind w:left="128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b/>
          <w:sz w:val="24"/>
          <w:szCs w:val="24"/>
        </w:rPr>
        <w:t>Завдання з обов’язкового аудиту фінансової звітності включає:</w:t>
      </w:r>
    </w:p>
    <w:p>
      <w:pPr>
        <w:pStyle w:val="Style17"/>
        <w:numPr>
          <w:ilvl w:val="0"/>
          <w:numId w:val="4"/>
        </w:numPr>
        <w:bidi w:val="0"/>
        <w:spacing w:before="0" w:after="0"/>
        <w:ind w:left="0" w:right="0" w:hanging="0"/>
        <w:jc w:val="both"/>
        <w:rPr>
          <w:rFonts w:ascii="Times New Roman" w:hAnsi="Times New Roman"/>
          <w:sz w:val="24"/>
          <w:szCs w:val="24"/>
        </w:rPr>
      </w:pPr>
      <w:r>
        <w:rPr>
          <w:rFonts w:cs="Times New Roman" w:ascii="Times New Roman" w:hAnsi="Times New Roman"/>
          <w:b/>
          <w:bCs/>
          <w:sz w:val="24"/>
          <w:szCs w:val="24"/>
          <w:shd w:fill="auto" w:val="clear"/>
        </w:rPr>
        <w:t xml:space="preserve"> </w:t>
      </w:r>
      <w:r>
        <w:rPr>
          <w:rFonts w:cs="Times New Roman" w:ascii="Times New Roman" w:hAnsi="Times New Roman"/>
          <w:sz w:val="24"/>
          <w:szCs w:val="24"/>
          <w:shd w:fill="auto" w:val="clear"/>
        </w:rPr>
        <w:t>підтвердження річної фінансової звітності за 2021 рік, 2022 рік, з метою надання до НКЦПФР (звітність емітента);</w:t>
      </w:r>
    </w:p>
    <w:p>
      <w:pPr>
        <w:pStyle w:val="Style17"/>
        <w:numPr>
          <w:ilvl w:val="0"/>
          <w:numId w:val="4"/>
        </w:numPr>
        <w:bidi w:val="0"/>
        <w:spacing w:before="0" w:after="0"/>
        <w:ind w:left="0" w:right="0" w:hanging="0"/>
        <w:jc w:val="both"/>
        <w:rPr>
          <w:rFonts w:ascii="Times New Roman" w:hAnsi="Times New Roman"/>
          <w:sz w:val="24"/>
          <w:szCs w:val="24"/>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підтвердження річної фінансової звітності за 2021 рік, 2022 рік, з метою надання до НБУ (Аудиторський звіт щодо підтвердження річної фінансової звітності);</w:t>
      </w:r>
    </w:p>
    <w:p>
      <w:pPr>
        <w:pStyle w:val="Style17"/>
        <w:numPr>
          <w:ilvl w:val="0"/>
          <w:numId w:val="4"/>
        </w:numPr>
        <w:bidi w:val="0"/>
        <w:spacing w:before="0" w:after="0"/>
        <w:ind w:left="0" w:right="0" w:hanging="0"/>
        <w:jc w:val="both"/>
        <w:rPr>
          <w:rFonts w:ascii="Times New Roman" w:hAnsi="Times New Roman"/>
          <w:sz w:val="24"/>
          <w:szCs w:val="24"/>
        </w:rPr>
      </w:pPr>
      <w:r>
        <w:rPr>
          <w:rFonts w:cs="Times New Roman" w:ascii="Times New Roman" w:hAnsi="Times New Roman"/>
          <w:sz w:val="24"/>
          <w:szCs w:val="24"/>
          <w:shd w:fill="auto" w:val="clear"/>
        </w:rPr>
        <w:t>- підтвердження річної спеціалізованої звітності страховика за 2021 рік, 2022 рік, (Аудиторський звіт про надання впевненості щодо річних звітних даних страховика);</w:t>
      </w:r>
    </w:p>
    <w:p>
      <w:pPr>
        <w:pStyle w:val="Style17"/>
        <w:numPr>
          <w:ilvl w:val="0"/>
          <w:numId w:val="4"/>
        </w:numPr>
        <w:bidi w:val="0"/>
        <w:spacing w:before="0" w:after="0"/>
        <w:ind w:left="0" w:right="0" w:hanging="0"/>
        <w:jc w:val="both"/>
        <w:rPr>
          <w:rFonts w:ascii="Times New Roman" w:hAnsi="Times New Roman"/>
          <w:sz w:val="24"/>
          <w:szCs w:val="24"/>
        </w:rPr>
      </w:pPr>
      <w:r>
        <w:rPr>
          <w:rFonts w:cs="Times New Roman" w:ascii="Times New Roman" w:hAnsi="Times New Roman"/>
          <w:sz w:val="24"/>
          <w:szCs w:val="24"/>
          <w:shd w:fill="auto" w:val="clear"/>
        </w:rPr>
        <w:t xml:space="preserve">-підтвердження річної консолідованої фінансової звітності за 2021 рік, 2022 рік, НФГ; </w:t>
      </w:r>
    </w:p>
    <w:p>
      <w:pPr>
        <w:pStyle w:val="ListParagraph"/>
        <w:numPr>
          <w:ilvl w:val="0"/>
          <w:numId w:val="4"/>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shd w:fill="auto" w:val="clear"/>
        </w:rPr>
        <w:t xml:space="preserve">- додатковий звіт для </w:t>
      </w:r>
      <w:r>
        <w:rPr>
          <w:rFonts w:eastAsia="Calibri" w:cs="Times New Roman" w:ascii="Times New Roman" w:hAnsi="Times New Roman"/>
          <w:color w:val="000000"/>
          <w:kern w:val="0"/>
          <w:sz w:val="24"/>
          <w:szCs w:val="24"/>
          <w:shd w:fill="auto" w:val="clear"/>
          <w:lang w:val="uk-UA" w:eastAsia="en-US" w:bidi="ar-SA"/>
        </w:rPr>
        <w:t>уповноваженого органу</w:t>
      </w:r>
      <w:r>
        <w:rPr>
          <w:rFonts w:cs="Times New Roman" w:ascii="Times New Roman" w:hAnsi="Times New Roman"/>
          <w:sz w:val="24"/>
          <w:szCs w:val="24"/>
          <w:shd w:fill="auto" w:val="clear"/>
        </w:rPr>
        <w:t xml:space="preserve"> з відбору суб'єктів аудиторської діяльності.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b/>
          <w:sz w:val="24"/>
          <w:szCs w:val="24"/>
        </w:rPr>
        <w:t>Вид послуги:  проведення обов’язкового аудиту фінансової звітності ПрАТ СК “ГРАНДВІС” за 2021 рік та 2022 рік.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b/>
          <w:sz w:val="24"/>
          <w:szCs w:val="24"/>
        </w:rPr>
        <w:t>Не допускаються до участі у конкурсі суб’єкти аудиторської діяльності, які:</w:t>
      </w:r>
    </w:p>
    <w:p>
      <w:pPr>
        <w:pStyle w:val="Normal"/>
        <w:numPr>
          <w:ilvl w:val="0"/>
          <w:numId w:val="2"/>
        </w:numPr>
        <w:spacing w:lineRule="auto" w:line="240" w:beforeAutospacing="1" w:after="0"/>
        <w:rPr>
          <w:rFonts w:ascii="Times New Roman" w:hAnsi="Times New Roman"/>
          <w:sz w:val="24"/>
          <w:szCs w:val="24"/>
        </w:rPr>
      </w:pPr>
      <w:r>
        <w:rPr>
          <w:rFonts w:eastAsia="Times New Roman" w:cs="Times New Roman" w:ascii="Times New Roman" w:hAnsi="Times New Roman"/>
          <w:sz w:val="24"/>
          <w:szCs w:val="24"/>
          <w:lang w:eastAsia="uk-UA"/>
        </w:rPr>
        <w:t>не відповідають вимогам Закону України «Про аудит фінансової звітності та аудиторську діяльність» та цим Умовам;</w:t>
      </w:r>
    </w:p>
    <w:p>
      <w:pPr>
        <w:pStyle w:val="Normal"/>
        <w:numPr>
          <w:ilvl w:val="0"/>
          <w:numId w:val="2"/>
        </w:numPr>
        <w:spacing w:lineRule="auto" w:line="240" w:before="0" w:afterAutospacing="1"/>
        <w:rPr>
          <w:rFonts w:ascii="Times New Roman" w:hAnsi="Times New Roman"/>
          <w:sz w:val="24"/>
          <w:szCs w:val="24"/>
        </w:rPr>
      </w:pPr>
      <w:r>
        <w:rPr>
          <w:rFonts w:eastAsia="Times New Roman" w:cs="Times New Roman" w:ascii="Times New Roman" w:hAnsi="Times New Roman"/>
          <w:sz w:val="24"/>
          <w:szCs w:val="24"/>
          <w:lang w:eastAsia="uk-UA"/>
        </w:rPr>
        <w:t>подали до участі в конкурсі документи, що містять недостовірну інформацію.</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b/>
          <w:sz w:val="24"/>
          <w:szCs w:val="24"/>
        </w:rPr>
        <w:t>Для участі у Конкурсі  учасники подають такі документи:</w:t>
      </w:r>
    </w:p>
    <w:p>
      <w:pPr>
        <w:pStyle w:val="Normal"/>
        <w:numPr>
          <w:ilvl w:val="0"/>
          <w:numId w:val="3"/>
        </w:numPr>
        <w:spacing w:lineRule="auto" w:line="240" w:before="0" w:after="0"/>
        <w:ind w:left="714" w:hanging="357"/>
        <w:rPr>
          <w:rFonts w:ascii="Times New Roman" w:hAnsi="Times New Roman"/>
          <w:sz w:val="24"/>
          <w:szCs w:val="24"/>
        </w:rPr>
      </w:pPr>
      <w:r>
        <w:rPr>
          <w:rFonts w:eastAsia="Times New Roman" w:cs="Times New Roman" w:ascii="Times New Roman" w:hAnsi="Times New Roman"/>
          <w:sz w:val="24"/>
          <w:szCs w:val="24"/>
          <w:lang w:eastAsia="uk-UA"/>
        </w:rPr>
        <w:t>основні відомості про суб’єкта аудиторської діяльності (реєстраційна інформація, види діяльності, посадові особи та інше);</w:t>
      </w:r>
    </w:p>
    <w:p>
      <w:pPr>
        <w:pStyle w:val="Normal"/>
        <w:numPr>
          <w:ilvl w:val="0"/>
          <w:numId w:val="3"/>
        </w:numPr>
        <w:spacing w:lineRule="auto" w:line="240" w:before="0" w:after="0"/>
        <w:ind w:left="714" w:hanging="357"/>
        <w:rPr>
          <w:rFonts w:ascii="Times New Roman" w:hAnsi="Times New Roman"/>
          <w:sz w:val="24"/>
          <w:szCs w:val="24"/>
        </w:rPr>
      </w:pPr>
      <w:r>
        <w:rPr>
          <w:rFonts w:eastAsia="Times New Roman" w:cs="Times New Roman" w:ascii="Times New Roman" w:hAnsi="Times New Roman"/>
          <w:sz w:val="24"/>
          <w:szCs w:val="24"/>
          <w:lang w:eastAsia="uk-UA"/>
        </w:rPr>
        <w:t>наявність передбачених законодавством України ліцензій, свідоцтв, сертифікатів та термін їх дії;</w:t>
      </w:r>
    </w:p>
    <w:p>
      <w:pPr>
        <w:pStyle w:val="Normal"/>
        <w:numPr>
          <w:ilvl w:val="0"/>
          <w:numId w:val="3"/>
        </w:numPr>
        <w:spacing w:lineRule="auto" w:line="240" w:before="0" w:after="0"/>
        <w:ind w:left="714" w:hanging="357"/>
        <w:rPr>
          <w:rFonts w:ascii="Times New Roman" w:hAnsi="Times New Roman"/>
          <w:sz w:val="24"/>
          <w:szCs w:val="24"/>
        </w:rPr>
      </w:pPr>
      <w:r>
        <w:rPr>
          <w:rFonts w:eastAsia="Times New Roman" w:cs="Times New Roman" w:ascii="Times New Roman" w:hAnsi="Times New Roman"/>
          <w:sz w:val="24"/>
          <w:szCs w:val="24"/>
          <w:lang w:eastAsia="uk-UA"/>
        </w:rPr>
        <w:t>цінова пропозиція щодо розміру оплати за договором та розрахунок вартості послуг;</w:t>
      </w:r>
    </w:p>
    <w:p>
      <w:pPr>
        <w:pStyle w:val="ListParagraph"/>
        <w:numPr>
          <w:ilvl w:val="0"/>
          <w:numId w:val="3"/>
        </w:numPr>
        <w:spacing w:lineRule="auto" w:line="240" w:before="0" w:after="0"/>
        <w:ind w:left="714" w:hanging="357"/>
        <w:contextualSpacing/>
        <w:rPr>
          <w:rFonts w:ascii="Times New Roman" w:hAnsi="Times New Roman"/>
          <w:sz w:val="24"/>
          <w:szCs w:val="24"/>
        </w:rPr>
      </w:pPr>
      <w:r>
        <w:rPr>
          <w:rFonts w:eastAsia="Times New Roman" w:cs="Times New Roman" w:ascii="Times New Roman" w:hAnsi="Times New Roman"/>
          <w:sz w:val="24"/>
          <w:szCs w:val="24"/>
          <w:lang w:eastAsia="uk-UA"/>
        </w:rPr>
        <w:t xml:space="preserve">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 </w:t>
      </w:r>
    </w:p>
    <w:p>
      <w:pPr>
        <w:pStyle w:val="Normal"/>
        <w:numPr>
          <w:ilvl w:val="0"/>
          <w:numId w:val="3"/>
        </w:numPr>
        <w:spacing w:lineRule="auto" w:line="240" w:before="0" w:after="0"/>
        <w:ind w:left="714" w:hanging="357"/>
        <w:rPr>
          <w:rFonts w:ascii="Times New Roman" w:hAnsi="Times New Roman"/>
          <w:sz w:val="24"/>
          <w:szCs w:val="24"/>
        </w:rPr>
      </w:pPr>
      <w:r>
        <w:rPr>
          <w:rFonts w:eastAsia="Times New Roman" w:cs="Times New Roman" w:ascii="Times New Roman" w:hAnsi="Times New Roman"/>
          <w:sz w:val="24"/>
          <w:szCs w:val="24"/>
          <w:lang w:eastAsia="uk-UA"/>
        </w:rPr>
        <w:t>лист-запевнення щодо відповідності вищенаведеним вимогам до учасників Конкурсу згідно переліку;</w:t>
      </w:r>
    </w:p>
    <w:p>
      <w:pPr>
        <w:pStyle w:val="Normal"/>
        <w:numPr>
          <w:ilvl w:val="0"/>
          <w:numId w:val="3"/>
        </w:numPr>
        <w:spacing w:lineRule="auto" w:line="240" w:before="0" w:after="0"/>
        <w:ind w:left="714" w:hanging="357"/>
        <w:rPr>
          <w:rFonts w:ascii="Times New Roman" w:hAnsi="Times New Roman"/>
          <w:sz w:val="24"/>
          <w:szCs w:val="24"/>
        </w:rPr>
      </w:pPr>
      <w:r>
        <w:rPr>
          <w:rFonts w:eastAsia="Times New Roman" w:cs="Times New Roman" w:ascii="Times New Roman" w:hAnsi="Times New Roman"/>
          <w:sz w:val="24"/>
          <w:szCs w:val="24"/>
          <w:lang w:eastAsia="uk-UA"/>
        </w:rPr>
        <w:t>будь-яку іншу інформацію, яка може бути корисною.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ab/>
        <w:t xml:space="preserve">Документи надсилайте, будь ласка,  за адресою: 14013, м. Чернігів, проспект Перемоги, 127 та/або на електронну адресу: </w:t>
      </w:r>
      <w:hyperlink r:id="rId2">
        <w:r>
          <w:rPr>
            <w:rFonts w:cs="Times New Roman" w:ascii="Times New Roman" w:hAnsi="Times New Roman"/>
            <w:sz w:val="24"/>
            <w:szCs w:val="24"/>
          </w:rPr>
          <w:t>office@grandwis.com.ua</w:t>
        </w:r>
      </w:hyperlink>
      <w:r>
        <w:rPr>
          <w:rFonts w:cs="Times New Roman" w:ascii="Times New Roman" w:hAnsi="Times New Roman"/>
          <w:sz w:val="24"/>
          <w:szCs w:val="24"/>
        </w:rPr>
        <w:t xml:space="preserve"> </w:t>
      </w:r>
    </w:p>
    <w:p>
      <w:pPr>
        <w:pStyle w:val="Normal"/>
        <w:jc w:val="both"/>
        <w:rPr>
          <w:rFonts w:ascii="Times New Roman" w:hAnsi="Times New Roman"/>
          <w:sz w:val="24"/>
          <w:szCs w:val="24"/>
        </w:rPr>
      </w:pPr>
      <w:r>
        <w:rPr>
          <w:rFonts w:cs="Times New Roman" w:ascii="Times New Roman" w:hAnsi="Times New Roman"/>
          <w:sz w:val="24"/>
          <w:szCs w:val="24"/>
        </w:rPr>
        <w:tab/>
        <w:t>Контактна особа: Головний бухгалтер Вовк Наталія Олександрівна + 380462 6-9999-6.</w:t>
      </w:r>
    </w:p>
    <w:p>
      <w:pPr>
        <w:pStyle w:val="Normal"/>
        <w:spacing w:lineRule="auto" w:line="240" w:beforeAutospacing="1" w:after="0"/>
        <w:ind w:firstLine="708"/>
        <w:rPr>
          <w:rFonts w:ascii="Times New Roman" w:hAnsi="Times New Roman"/>
          <w:sz w:val="24"/>
          <w:szCs w:val="24"/>
        </w:rPr>
      </w:pPr>
      <w:r>
        <w:rPr>
          <w:rFonts w:eastAsia="Times New Roman" w:cs="Times New Roman" w:ascii="Times New Roman" w:hAnsi="Times New Roman"/>
          <w:color w:val="000000"/>
          <w:sz w:val="24"/>
          <w:szCs w:val="24"/>
          <w:lang w:eastAsia="uk-UA"/>
        </w:rPr>
        <w:t>Документи, що надійшли після встановленого строку або подані не в повному обсязі чи з порушенням умов Конкурсу, не розглядатимуться.</w:t>
      </w:r>
      <w:r>
        <w:rPr>
          <w:rFonts w:eastAsia="Times New Roman" w:cs="Times New Roman" w:ascii="Times New Roman" w:hAnsi="Times New Roman"/>
          <w:sz w:val="24"/>
          <w:szCs w:val="24"/>
          <w:lang w:eastAsia="uk-UA"/>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Фінансова звітність та інша публічна інформація ПрАТ СК “Грандвіс” доступна на веб-сайті Товариства у мережі Інтернет у розділі “Інформація”: </w:t>
      </w:r>
      <w:hyperlink r:id="rId3">
        <w:r>
          <w:rPr>
            <w:rFonts w:cs="Times New Roman" w:ascii="Times New Roman" w:hAnsi="Times New Roman"/>
            <w:sz w:val="24"/>
            <w:szCs w:val="24"/>
          </w:rPr>
          <w:t>http://www.grandwis.pat.ua/</w:t>
        </w:r>
      </w:hyperlink>
      <w:r>
        <w:rPr>
          <w:rFonts w:cs="Times New Roman" w:ascii="Times New Roman" w:hAnsi="Times New Roman"/>
          <w:sz w:val="24"/>
          <w:szCs w:val="24"/>
        </w:rPr>
        <w:t xml:space="preserve">; </w:t>
      </w:r>
      <w:hyperlink r:id="rId4">
        <w:r>
          <w:rPr>
            <w:rFonts w:cs="Times New Roman" w:ascii="Times New Roman" w:hAnsi="Times New Roman"/>
            <w:sz w:val="24"/>
            <w:szCs w:val="24"/>
          </w:rPr>
          <w:t>http://www.grandwis.com.ua/</w:t>
        </w:r>
      </w:hyperlink>
      <w:r>
        <w:rPr>
          <w:rFonts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uk-UA"/>
        </w:rPr>
        <w:t>Додаткова інформація про діяльність ПрАТ СК “ГРАНДВІС” може надаватись у разі необхідності та відповідно до запиту учасника конкурсу.</w:t>
      </w:r>
    </w:p>
    <w:p>
      <w:pPr>
        <w:pStyle w:val="Normal"/>
        <w:spacing w:lineRule="auto" w:line="240" w:before="0" w:after="0"/>
        <w:ind w:firstLine="567"/>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Normal"/>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uk-UA"/>
        </w:rPr>
        <w:t xml:space="preserve">Результати Конкурсу будуть розглянуті органом, на який покладено функції аудиторського комітету та рекомендації надані на загальні збори акціонерів для прийняття відповідного рішення. </w:t>
      </w:r>
    </w:p>
    <w:p>
      <w:pPr>
        <w:pStyle w:val="Normal"/>
        <w:spacing w:lineRule="auto" w:line="240" w:before="0" w:after="0"/>
        <w:ind w:firstLine="567"/>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Normal"/>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lang w:eastAsia="uk-UA"/>
        </w:rPr>
        <w:t>Про результати Конкурсу  учасники, що приймали участь у конкурсі повідомляються шляхом розміщення відповідного оголошення на веб-сайті Товариства.</w:t>
      </w:r>
    </w:p>
    <w:p>
      <w:pPr>
        <w:pStyle w:val="Normal"/>
        <w:spacing w:before="0" w:after="200"/>
        <w:jc w:val="center"/>
        <w:rPr>
          <w:rFonts w:ascii="Times New Roman" w:hAnsi="Times New Roman"/>
          <w:sz w:val="24"/>
          <w:szCs w:val="24"/>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altName w:val="serif"/>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c93177"/>
    <w:rPr>
      <w:color w:val="0000FF" w:themeColor="hyperlink"/>
      <w:u w:val="single"/>
    </w:rPr>
  </w:style>
  <w:style w:type="character" w:styleId="Style15">
    <w:name w:val="Маркери"/>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DejaVu Sans"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Покажчик"/>
    <w:basedOn w:val="Normal"/>
    <w:qFormat/>
    <w:pPr>
      <w:suppressLineNumbers/>
    </w:pPr>
    <w:rPr>
      <w:rFonts w:cs="FreeSans"/>
    </w:rPr>
  </w:style>
  <w:style w:type="paragraph" w:styleId="ListParagraph">
    <w:name w:val="List Paragraph"/>
    <w:basedOn w:val="Normal"/>
    <w:uiPriority w:val="34"/>
    <w:qFormat/>
    <w:rsid w:val="00c93177"/>
    <w:pPr>
      <w:spacing w:before="0" w:after="200"/>
      <w:ind w:left="720" w:hanging="0"/>
      <w:contextualSpacing/>
    </w:pPr>
    <w:rPr/>
  </w:style>
  <w:style w:type="paragraph" w:styleId="Style21">
    <w:name w:val="Вміст таблиці"/>
    <w:basedOn w:val="Normal"/>
    <w:qFormat/>
    <w:pPr>
      <w:widowControl w:val="false"/>
      <w:suppressLineNumbers/>
    </w:pPr>
    <w:rPr/>
  </w:style>
  <w:style w:type="paragraph" w:styleId="Style22">
    <w:name w:val="Заголовок таблиці"/>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c931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grandwis.com.ua" TargetMode="External"/><Relationship Id="rId3" Type="http://schemas.openxmlformats.org/officeDocument/2006/relationships/hyperlink" Target="http://www.grandwis.pat.ua/" TargetMode="External"/><Relationship Id="rId4" Type="http://schemas.openxmlformats.org/officeDocument/2006/relationships/hyperlink" Target="http://www.grandwis.com.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Application>LibreOffice/7.0.4.2$Linux_X86_64 LibreOffice_project/00$Build-2</Application>
  <AppVersion>15.0000</AppVersion>
  <Pages>3</Pages>
  <Words>841</Words>
  <Characters>5682</Characters>
  <CharactersWithSpaces>6473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2020-01-21T14:16:00Z</dcterms:created>
  <dc:creator>Людмила Бачинская</dc:creator>
  <dc:description/>
  <dc:language>uk-UA</dc:language>
  <cp:lastModifiedBy/>
  <cp:lastPrinted>2020-11-24T17:04:22Z</cp:lastPrinted>
  <dcterms:modified xsi:type="dcterms:W3CDTF">2021-09-28T12:07:36Z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