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4362E2" w:rsidRPr="00362B0C" w:rsidTr="002E3EB9">
        <w:tc>
          <w:tcPr>
            <w:tcW w:w="4860" w:type="dxa"/>
            <w:shd w:val="clear" w:color="auto" w:fill="auto"/>
          </w:tcPr>
          <w:p w:rsidR="004362E2" w:rsidRPr="004362E2" w:rsidRDefault="004362E2" w:rsidP="002E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4362E2" w:rsidRPr="00362B0C" w:rsidRDefault="004362E2" w:rsidP="002E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4362E2" w:rsidRPr="00362B0C" w:rsidRDefault="004362E2" w:rsidP="002E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2E2" w:rsidRPr="00362B0C" w:rsidRDefault="004362E2" w:rsidP="002E3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Загальними зборами акціонерів</w:t>
            </w:r>
          </w:p>
          <w:p w:rsidR="004362E2" w:rsidRPr="00362B0C" w:rsidRDefault="004362E2" w:rsidP="002E3EB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ПрАТ СК</w:t>
            </w:r>
            <w:r w:rsidR="0081059E"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spellStart"/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Грандвіс</w:t>
            </w:r>
            <w:proofErr w:type="spellEnd"/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4362E2" w:rsidRPr="00362B0C" w:rsidRDefault="004362E2" w:rsidP="004362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B0C">
              <w:rPr>
                <w:rFonts w:ascii="Times New Roman" w:hAnsi="Times New Roman" w:cs="Times New Roman"/>
                <w:b/>
                <w:sz w:val="28"/>
                <w:szCs w:val="28"/>
              </w:rPr>
              <w:t>(протокол від 26.08.2020 № 1)</w:t>
            </w:r>
          </w:p>
        </w:tc>
      </w:tr>
    </w:tbl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59E" w:rsidRPr="00362B0C" w:rsidRDefault="0081059E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59E" w:rsidRPr="00362B0C" w:rsidRDefault="0081059E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КОДЕКС</w:t>
      </w: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корпоративного управління</w:t>
      </w: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Приватного </w:t>
      </w:r>
      <w:r w:rsidR="0081059E"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акціонерного товариства</w:t>
      </w: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"</w:t>
      </w:r>
      <w:r w:rsidRPr="00362B0C">
        <w:t xml:space="preserve"> </w:t>
      </w:r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Страхова компанія</w:t>
      </w:r>
      <w:r w:rsidR="0081059E"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"</w:t>
      </w:r>
      <w:proofErr w:type="spellStart"/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Грандвіс</w:t>
      </w:r>
      <w:proofErr w:type="spellEnd"/>
      <w:r w:rsidRPr="00362B0C">
        <w:rPr>
          <w:rFonts w:ascii="Times New Roman" w:hAnsi="Times New Roman" w:cs="Times New Roman"/>
          <w:b/>
          <w:bCs/>
          <w:color w:val="000000"/>
          <w:sz w:val="40"/>
          <w:szCs w:val="40"/>
        </w:rPr>
        <w:t>"</w:t>
      </w: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9E" w:rsidRPr="00362B0C" w:rsidRDefault="0081059E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9E" w:rsidRPr="00362B0C" w:rsidRDefault="0081059E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9E" w:rsidRPr="00362B0C" w:rsidRDefault="0081059E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E2" w:rsidRPr="00362B0C" w:rsidRDefault="004362E2" w:rsidP="00436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0C">
        <w:rPr>
          <w:rFonts w:ascii="Times New Roman" w:hAnsi="Times New Roman" w:cs="Times New Roman"/>
          <w:b/>
          <w:sz w:val="28"/>
          <w:szCs w:val="28"/>
        </w:rPr>
        <w:t>м. Чернігів</w:t>
      </w:r>
    </w:p>
    <w:p w:rsidR="004362E2" w:rsidRPr="00362B0C" w:rsidRDefault="004362E2" w:rsidP="004362E2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0C">
        <w:rPr>
          <w:rFonts w:ascii="Times New Roman" w:hAnsi="Times New Roman" w:cs="Times New Roman"/>
          <w:b/>
          <w:sz w:val="28"/>
          <w:szCs w:val="28"/>
        </w:rPr>
        <w:t>20</w:t>
      </w:r>
      <w:r w:rsidR="0081059E" w:rsidRPr="00362B0C">
        <w:rPr>
          <w:rFonts w:ascii="Times New Roman" w:hAnsi="Times New Roman" w:cs="Times New Roman"/>
          <w:b/>
          <w:sz w:val="28"/>
          <w:szCs w:val="28"/>
        </w:rPr>
        <w:t>20</w:t>
      </w:r>
      <w:r w:rsidRPr="00362B0C">
        <w:rPr>
          <w:rFonts w:ascii="Times New Roman" w:hAnsi="Times New Roman" w:cs="Times New Roman"/>
          <w:b/>
          <w:sz w:val="28"/>
          <w:szCs w:val="28"/>
        </w:rPr>
        <w:t xml:space="preserve"> рік </w:t>
      </w:r>
      <w:r w:rsidRPr="00362B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650" w:rsidRPr="00362B0C" w:rsidRDefault="00E05C73" w:rsidP="0081059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B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55238C" w:rsidRPr="0036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2B0C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ПОЛОЖЕННЯ ТА МЕТА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1.1.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 xml:space="preserve">Кодекс корпоративного управління </w:t>
      </w:r>
      <w:r w:rsidR="0081059E" w:rsidRPr="00362B0C">
        <w:rPr>
          <w:rFonts w:ascii="Times New Roman" w:hAnsi="Times New Roman" w:cs="Times New Roman"/>
          <w:sz w:val="24"/>
          <w:szCs w:val="24"/>
        </w:rPr>
        <w:t>Приватного акціонерного товариства "Страхова компанія "</w:t>
      </w:r>
      <w:proofErr w:type="spellStart"/>
      <w:r w:rsidR="0081059E" w:rsidRPr="00362B0C">
        <w:rPr>
          <w:rFonts w:ascii="Times New Roman" w:hAnsi="Times New Roman" w:cs="Times New Roman"/>
          <w:sz w:val="24"/>
          <w:szCs w:val="24"/>
        </w:rPr>
        <w:t>Грандвіс</w:t>
      </w:r>
      <w:proofErr w:type="spellEnd"/>
      <w:r w:rsidR="0081059E" w:rsidRPr="00362B0C">
        <w:rPr>
          <w:rFonts w:ascii="Times New Roman" w:hAnsi="Times New Roman" w:cs="Times New Roman"/>
          <w:sz w:val="24"/>
          <w:szCs w:val="24"/>
        </w:rPr>
        <w:t xml:space="preserve">" </w:t>
      </w:r>
      <w:r w:rsidRPr="00362B0C">
        <w:rPr>
          <w:rFonts w:ascii="Times New Roman" w:hAnsi="Times New Roman" w:cs="Times New Roman"/>
          <w:sz w:val="24"/>
          <w:szCs w:val="24"/>
        </w:rPr>
        <w:t xml:space="preserve">(далі </w:t>
      </w:r>
      <w:r w:rsidR="0081059E" w:rsidRPr="00362B0C">
        <w:rPr>
          <w:rFonts w:ascii="Times New Roman" w:hAnsi="Times New Roman" w:cs="Times New Roman"/>
          <w:sz w:val="24"/>
          <w:szCs w:val="24"/>
        </w:rPr>
        <w:t>–</w:t>
      </w:r>
      <w:r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Кодекс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) розроблений у відповідності до Цивільного кодексу України, Законів України</w:t>
      </w:r>
      <w:r w:rsidR="0081059E" w:rsidRPr="00362B0C">
        <w:rPr>
          <w:rFonts w:ascii="Times New Roman" w:hAnsi="Times New Roman" w:cs="Times New Roman"/>
          <w:sz w:val="24"/>
          <w:szCs w:val="24"/>
        </w:rPr>
        <w:t xml:space="preserve"> "</w:t>
      </w:r>
      <w:r w:rsidRPr="00362B0C">
        <w:rPr>
          <w:rFonts w:ascii="Times New Roman" w:hAnsi="Times New Roman" w:cs="Times New Roman"/>
          <w:sz w:val="24"/>
          <w:szCs w:val="24"/>
        </w:rPr>
        <w:t>Про страхування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,</w:t>
      </w:r>
      <w:r w:rsidR="0081059E" w:rsidRPr="00362B0C">
        <w:rPr>
          <w:rFonts w:ascii="Times New Roman" w:hAnsi="Times New Roman" w:cs="Times New Roman"/>
          <w:sz w:val="24"/>
          <w:szCs w:val="24"/>
        </w:rPr>
        <w:t xml:space="preserve"> "</w:t>
      </w:r>
      <w:r w:rsidRPr="00362B0C">
        <w:rPr>
          <w:rFonts w:ascii="Times New Roman" w:hAnsi="Times New Roman" w:cs="Times New Roman"/>
          <w:sz w:val="24"/>
          <w:szCs w:val="24"/>
        </w:rPr>
        <w:t>Про фінансові послуги та державне регулювання ринків фінансових послуг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,</w:t>
      </w:r>
      <w:r w:rsidR="0081059E" w:rsidRPr="00362B0C">
        <w:rPr>
          <w:rFonts w:ascii="Times New Roman" w:hAnsi="Times New Roman" w:cs="Times New Roman"/>
          <w:sz w:val="24"/>
          <w:szCs w:val="24"/>
        </w:rPr>
        <w:t xml:space="preserve"> "</w:t>
      </w:r>
      <w:r w:rsidRPr="00362B0C">
        <w:rPr>
          <w:rFonts w:ascii="Times New Roman" w:hAnsi="Times New Roman" w:cs="Times New Roman"/>
          <w:sz w:val="24"/>
          <w:szCs w:val="24"/>
        </w:rPr>
        <w:t>Про акціонерні товариства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,</w:t>
      </w:r>
      <w:r w:rsidR="0081059E" w:rsidRPr="00362B0C">
        <w:rPr>
          <w:rFonts w:ascii="Times New Roman" w:hAnsi="Times New Roman" w:cs="Times New Roman"/>
          <w:sz w:val="24"/>
          <w:szCs w:val="24"/>
        </w:rPr>
        <w:t xml:space="preserve"> "</w:t>
      </w:r>
      <w:r w:rsidRPr="00362B0C">
        <w:rPr>
          <w:rFonts w:ascii="Times New Roman" w:hAnsi="Times New Roman" w:cs="Times New Roman"/>
          <w:sz w:val="24"/>
          <w:szCs w:val="24"/>
        </w:rPr>
        <w:t>Про цінні папери та фондовий ринок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 xml:space="preserve">, Рекомендацій щодо практики застосування законодавства з питань корпоративного управління, затверджених Рішенням Національної комісії з цінних паперів та фондового ринку від 12.03.2020 № 118, чинного законодавства України, що регулює діяльність суб'єктів страхової діяльності, фінансових установ і акціонерних товариств, а також на основі Статуту </w:t>
      </w:r>
      <w:r w:rsidR="0081059E" w:rsidRPr="00362B0C">
        <w:rPr>
          <w:rFonts w:ascii="Times New Roman" w:hAnsi="Times New Roman" w:cs="Times New Roman"/>
          <w:sz w:val="24"/>
          <w:szCs w:val="24"/>
        </w:rPr>
        <w:t>Приватного акціонерного товариства "Страхова компанія "</w:t>
      </w:r>
      <w:proofErr w:type="spellStart"/>
      <w:r w:rsidR="0081059E" w:rsidRPr="00362B0C">
        <w:rPr>
          <w:rFonts w:ascii="Times New Roman" w:hAnsi="Times New Roman" w:cs="Times New Roman"/>
          <w:sz w:val="24"/>
          <w:szCs w:val="24"/>
        </w:rPr>
        <w:t>Грандвіс</w:t>
      </w:r>
      <w:proofErr w:type="spellEnd"/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 xml:space="preserve"> (далі </w:t>
      </w:r>
      <w:r w:rsidR="0081059E" w:rsidRPr="00362B0C">
        <w:rPr>
          <w:rFonts w:ascii="Times New Roman" w:hAnsi="Times New Roman" w:cs="Times New Roman"/>
          <w:sz w:val="24"/>
          <w:szCs w:val="24"/>
        </w:rPr>
        <w:t>–</w:t>
      </w:r>
      <w:r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="00757DA4" w:rsidRPr="00362B0C">
        <w:rPr>
          <w:rFonts w:ascii="Times New Roman" w:hAnsi="Times New Roman" w:cs="Times New Roman"/>
          <w:sz w:val="24"/>
          <w:szCs w:val="24"/>
        </w:rPr>
        <w:t>Статут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).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1.2. Кодекс є документом, який визначає та закріплює основні принципи і стандарти корпоративного управління </w:t>
      </w:r>
      <w:r w:rsidR="0081059E" w:rsidRPr="00362B0C">
        <w:rPr>
          <w:rFonts w:ascii="Times New Roman" w:hAnsi="Times New Roman" w:cs="Times New Roman"/>
          <w:sz w:val="24"/>
          <w:szCs w:val="24"/>
        </w:rPr>
        <w:t>Приватного акціонерного товариства "Страхова компанія "</w:t>
      </w:r>
      <w:proofErr w:type="spellStart"/>
      <w:r w:rsidR="0081059E" w:rsidRPr="00362B0C">
        <w:rPr>
          <w:rFonts w:ascii="Times New Roman" w:hAnsi="Times New Roman" w:cs="Times New Roman"/>
          <w:sz w:val="24"/>
          <w:szCs w:val="24"/>
        </w:rPr>
        <w:t>Грандвіс</w:t>
      </w:r>
      <w:proofErr w:type="spellEnd"/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 xml:space="preserve"> (далі </w:t>
      </w:r>
      <w:r w:rsidR="0081059E" w:rsidRPr="00362B0C">
        <w:rPr>
          <w:rFonts w:ascii="Times New Roman" w:hAnsi="Times New Roman" w:cs="Times New Roman"/>
          <w:sz w:val="24"/>
          <w:szCs w:val="24"/>
        </w:rPr>
        <w:t>–</w:t>
      </w:r>
      <w:r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Товариство</w:t>
      </w:r>
      <w:r w:rsidR="0081059E" w:rsidRPr="00362B0C">
        <w:rPr>
          <w:rFonts w:ascii="Times New Roman" w:hAnsi="Times New Roman" w:cs="Times New Roman"/>
          <w:sz w:val="24"/>
          <w:szCs w:val="24"/>
        </w:rPr>
        <w:t>"</w:t>
      </w:r>
      <w:r w:rsidRPr="00362B0C">
        <w:rPr>
          <w:rFonts w:ascii="Times New Roman" w:hAnsi="Times New Roman" w:cs="Times New Roman"/>
          <w:sz w:val="24"/>
          <w:szCs w:val="24"/>
        </w:rPr>
        <w:t>), принципи захисту інтересів акціонерів, клієнтів,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та інших заінтересованих осіб, взаємовідносини органів управління та контролю Товариства, принципи відповідальності посадових осіб Товариства, розкриття інформації та прозорості.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1.3. Метою Кодексу є впровадження у діяльність Товариства найкращих практик корпоративного управління, які базуються на беззаперечному дотриманні Товариством вимог чинного законодавства, загальноприйнятих,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прозорих та зрозумілих правил ведення бізнесу на ринку страхових послуг, підвищення конкурентоспроможності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Товариства та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зміцнення довіри до Товариства зі сторони акціонерів, клієнтів, працівників та інших заінтересованих осіб.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1.4. Корпоративне</w:t>
      </w:r>
      <w:r w:rsidRPr="00362B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управління</w:t>
      </w:r>
      <w:r w:rsidRPr="00362B0C">
        <w:rPr>
          <w:rFonts w:ascii="Times New Roman" w:hAnsi="Times New Roman" w:cs="Times New Roman"/>
          <w:spacing w:val="-10"/>
          <w:sz w:val="24"/>
          <w:szCs w:val="24"/>
        </w:rPr>
        <w:t xml:space="preserve"> Товариства -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це система відносин між органами управління та контролю Товариства:</w:t>
      </w:r>
      <w:r w:rsidR="0055238C"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Загальними зборами акціонерів Товариства (далі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Загальні збори акціонерів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), Наглядовою радою Товариства (далі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Наглядова рада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55238C"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Генеральним директором Товариства (далі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Генеральний директор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), Ревізором Товариства (далі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>Ревізор</w:t>
      </w:r>
      <w:r w:rsidR="0081059E" w:rsidRPr="00362B0C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), а також акціонерами та іншими заінтересованими особами (клієнтами, працівниками, іншими заінтересованими особами), через яку встановлюються цілі Товариства, визначаються способи їх досягнення та відбувається моніторинг і контроль результатів господарської </w:t>
      </w:r>
      <w:r w:rsidRPr="00362B0C">
        <w:rPr>
          <w:rFonts w:ascii="Times New Roman" w:hAnsi="Times New Roman" w:cs="Times New Roman"/>
          <w:sz w:val="24"/>
          <w:szCs w:val="24"/>
        </w:rPr>
        <w:t>діяльності.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1.5. 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Товариство створене з метою одержання прибутку на основі здійснення підприємницької </w:t>
      </w:r>
      <w:r w:rsidR="00757DA4"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>діяльності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надання страхових послуг для страхового захисту майнових </w:t>
      </w:r>
      <w:r w:rsidR="00757DA4"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>інтересів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громадян, а також майнових </w:t>
      </w:r>
      <w:r w:rsidR="00757DA4"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>інтересів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підприємств, установ та організацій незалежно </w:t>
      </w:r>
      <w:r w:rsidR="00757DA4"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>від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форм власності. Предметом </w:t>
      </w:r>
      <w:r w:rsidR="00757DA4"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>діяльності</w:t>
      </w:r>
      <w:r w:rsidRPr="00362B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Товариства є страхування, перестрахування i фінансова діяльність, пов'язана з формуванням, розміщенням страхових резервів та їх управлінням.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Наявність якісної, прозорої та дієвої системи корпоративного управління, яка регламентується цим Кодексом і внутрішніми документами Товариства, допомагає збільшити вартість </w:t>
      </w:r>
      <w:r w:rsidR="00924196"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акцій </w:t>
      </w:r>
      <w:r w:rsidRPr="00362B0C">
        <w:rPr>
          <w:rFonts w:ascii="Times New Roman" w:hAnsi="Times New Roman" w:cs="Times New Roman"/>
          <w:spacing w:val="-4"/>
          <w:sz w:val="24"/>
          <w:szCs w:val="24"/>
        </w:rPr>
        <w:t xml:space="preserve">Товариства шляхом підвищення його конкурентоспроможності, ефективності </w:t>
      </w:r>
      <w:r w:rsidRPr="00362B0C">
        <w:rPr>
          <w:rFonts w:ascii="Times New Roman" w:hAnsi="Times New Roman" w:cs="Times New Roman"/>
          <w:sz w:val="24"/>
          <w:szCs w:val="24"/>
        </w:rPr>
        <w:t>та зростання, сприяє прибутковості та фінансовій стабільності, збільшенню довіри зі сторони акціонерів, та побудові довготривалої співпраці з клієнтами та партнерами Товариства, органами влади, громадськістю та суспільством загалом.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1.6. Затверджуючи цей Кодекс на Загальних зборах, акціонери зобов'язуються, а також зобов'язують усі органи управління, підрозділи та працівників Товариства керуватись положеннями Кодексу при виконанні своїх обов'язків.</w:t>
      </w:r>
    </w:p>
    <w:p w:rsidR="00240650" w:rsidRPr="00362B0C" w:rsidRDefault="00240650">
      <w:pPr>
        <w:pStyle w:val="a5"/>
        <w:ind w:right="113" w:firstLine="0"/>
        <w:rPr>
          <w:rFonts w:ascii="Times New Roman" w:hAnsi="Times New Roman" w:cs="Times New Roman"/>
          <w:sz w:val="24"/>
          <w:szCs w:val="24"/>
        </w:rPr>
      </w:pPr>
    </w:p>
    <w:p w:rsidR="00240650" w:rsidRPr="00362B0C" w:rsidRDefault="00E05C73">
      <w:pPr>
        <w:pStyle w:val="a5"/>
        <w:ind w:right="1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2. ПРИНЦИПИ КОРПОРАТИВНОГО УПРАВЛІННЯ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Основними принципами корпоративного управління Товариства є: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2.1.1. Дотримання законодавства України.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2.1.2. Захист прав і законних інтересів акціонерів Товариства.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2.1.3. Забезпечення належної уваги до інтересів акціонерів та інших заінтересованих осіб.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2.1.4. Розмежування обов'язків і повноважень між органами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управління Товариства.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2.1.5. Прозорість та своєчасність розкриття інформації.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2.1.6. Запобігання конфліктам інтересів, забезпечення рівноваги впливу та балансу інтересів усіх учасників корпоративних відносин.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lastRenderedPageBreak/>
        <w:t>2.1.7. Забезпечення ефективного управління та контролю за діяльністю Товариства.</w:t>
      </w:r>
    </w:p>
    <w:p w:rsidR="00240650" w:rsidRPr="00362B0C" w:rsidRDefault="00240650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0650" w:rsidRPr="00362B0C" w:rsidRDefault="00E05C73">
      <w:pPr>
        <w:pStyle w:val="a5"/>
        <w:ind w:righ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5238C" w:rsidRPr="003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b/>
          <w:bCs/>
          <w:sz w:val="24"/>
          <w:szCs w:val="24"/>
        </w:rPr>
        <w:t>СТРУКТУРА КОРПОРАТИВНОГО</w:t>
      </w:r>
      <w:r w:rsidR="0055238C" w:rsidRPr="003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b/>
          <w:bCs/>
          <w:sz w:val="24"/>
          <w:szCs w:val="24"/>
        </w:rPr>
        <w:t>УПРАВЛІННЯ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3.1. Систему корпоративного управління Товариства — складають відносин між органами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 xml:space="preserve">Товариства, визначеними Статутом і внутрішніми документами товариства, а також акціонерами та іншими заінтересованими особами (клієнтами, працівниками, іншими заінтересованими особами), через яку встановлюються цілі Товариства, визначаються способи їх досягнення та відбувається моніторинг результатів господарської діяльності.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ab/>
        <w:t>Структура органів Товариства, їх повноваження та відповідальність визначені Статутом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та внутрішніми документами Товариства. Розподіл повноважень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 xml:space="preserve">між органами Товариства, у тому числі визначення переліку питань, які належать до виключної компетенції кожного з них, що закріплений у Статуті та внутрішніх документах, забезпечує ефективну систему управління та внутрішнього контролю.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3.2. Органами Товариства відповідно до Статуту Товариства є: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3.2.1.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Загальні збори акціонерів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Товариства (вищий</w:t>
      </w:r>
      <w:r w:rsidR="0081059E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орган управління Товариства).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3.2.2. Наглядова рада Товариства - колегіальний орган, що здійснює захист прав акціонерів Товариства і в межах компетенції, визначеної Статутом та чинним законодавством, здійснює управління Товариством, а також контролює та регулює діяльність Генерального директора і керується в своїй діяльності Положенням про Наглядову раду.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3.2.3. Генеральний директор - одноосібний виконавчий орган, який в межах компетенції, визначеної Статутом та чинним законодавством, здійснює управління поточною діяльністю Товариства.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3.2.4. Ревізор - для проведення перевірки фінансово-господарської діяльності Товариства Загальні збори акціонерів можуть обирати Ревізора.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3.3. Органи Товариства здійснюють управління таким чином, щоб забезпечити розвиток Товариства в цілому, а також реалізацію права кожного акціонера на отримання доходу, з дотриманням ділової етики та врахуванням інтересів суспільства в цілому.</w:t>
      </w:r>
    </w:p>
    <w:p w:rsidR="00240650" w:rsidRPr="00362B0C" w:rsidRDefault="00240650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0650" w:rsidRPr="00362B0C" w:rsidRDefault="00E05C73">
      <w:pPr>
        <w:pStyle w:val="a5"/>
        <w:ind w:right="11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4. ЗАХИСТ ПРАВ АКЦІОНЕРІВ</w:t>
      </w:r>
      <w:r w:rsidR="0055238C" w:rsidRPr="003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240650" w:rsidRPr="00362B0C" w:rsidRDefault="00E05C73">
      <w:pPr>
        <w:pStyle w:val="a5"/>
        <w:ind w:right="11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ВЗАЄМОВІДНОСИНИ ІЗ ЗАІНТЕРЕСОВАНИМИ ОСОБАМИ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4.1. Принцип захисту прав і законних інтересів акціонерів є одним з визначальних в системі корпоративного управління Товариства. Товариство забезпечує баланс і захист прав мажоритарних і міноритарних акціонерів, рівне ставлення до всіх акціонерів незалежно від того, чи є акціонер резидентом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України чи нерезидентом, та від інших факторів. Усім акціонерам гарантується безперешкодна реалізація своїх прав, визначених законодавством України, Статутом та внутрішніми документами Товариства.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4.2. Право на участь в управлінні Товариством акціонери реалізують шляхом участі в Загальних зборах акціонерів особисто або через вільно обраного представника, та голосування на них, а також через право обиратись до Наглядової ради/Ревізором. У Загальних зборах акціонерів мають право брати участь всі акціонери, незалежно від кількості та типу акцій, що їм належить, особисто або через свого представника.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Загальні збори акціонерів можуть вирішувати будь-які питання діяльності Товариства, крім тих, що віднесені до виключної компетенції Наглядової ради законом або Статутом Товариства та при цьому не включені Наглядовою радою в порядок денний Загальних зборів акціонерів. Порядок взаємодії органів Товариства, акціонерів і третіх осіб при скликанні і проведенні Загальних зборів акціонерів регламентується Положенням про Загальні збори акціонерів.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Одна проста акція товариства надає акціонеру один голос для вирішення кожного питання на Загальних зборах акціонерів, крім випадків проведення кумулятивного голосування.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При кумулятивному голосуванні загальна кількість голосів акціонера помножується на кількість членів органу Товариства, що обираються, а акціонер має право віддати всі підраховані таким чином голоси за одного кандидата або розподілити їх між кількома кандидатами.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4.3. Посадові особи органів акціонерного товариства та інші особи, які перебувають з </w:t>
      </w:r>
      <w:r w:rsidRPr="00362B0C">
        <w:rPr>
          <w:rFonts w:ascii="Times New Roman" w:hAnsi="Times New Roman" w:cs="Times New Roman"/>
          <w:sz w:val="24"/>
          <w:szCs w:val="24"/>
        </w:rPr>
        <w:lastRenderedPageBreak/>
        <w:t>товариством у трудових відносинах, не мають права вимагати від акціонера - працівника Товариства надання відомостей про те, як він голосував чи як має намір голосувати на Загальних зборах акціонерів або про відчуження акціонером - працівником товариства своїх акцій чи намір їх відчуження, або вимагати передачі довіреності на участь у Загальних зборах акціонерів.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4.4. Акціонери мають право бути поінформованими про господарську діяльність Товариства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в порядку та в межах, передбачених чинним законодавством України.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4.5. Кожний акціонер має право внести пропозиції щодо питань, включених до проекту порядку денного Загальних зборів акціонерів,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проведення Загальних зборів, а щодо кандидатів до складу органів Товариства - не пізніше ніж за 7 днів до дати проведення Загальних зборів акціонерів.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4.6. Акціонери мають право на отримання дивідендів. За акціями одного типу та класу нараховується однаковий розмір дивідендів.</w:t>
      </w:r>
      <w:bookmarkStart w:id="0" w:name="n2069"/>
      <w:bookmarkEnd w:id="0"/>
      <w:r w:rsidRPr="00362B0C">
        <w:rPr>
          <w:rFonts w:ascii="Times New Roman" w:hAnsi="Times New Roman" w:cs="Times New Roman"/>
          <w:sz w:val="24"/>
          <w:szCs w:val="24"/>
        </w:rPr>
        <w:t xml:space="preserve"> Виплата дивідендів власникам акцій одного типу та класу має відбуватися пропорційно до кількості належних їм цінних паперів, а умови виплати дивідендів (зокрема щодо строків, способу та суми дивідендів) мають бути однакові для всіх власників акцій одного типу та класу.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4.7. У акціонерів відсутнє переважне право на придбання акцій Товариства, які пропонуються іншим акціонером до продажу третій особі. 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4.8. При прийнятті власних рішень акціонери повинні враховувати інтереси Товариства, його клієнтів, працівників, кредиторів та інших заінтересованих осіб; сприяти своїми діями покращенню фінансової стабільності та репутації Товариства, а також не завдавати навмисної шкоди іншим акціонерам Товариства; дотримуватися Статуту, інших внутрішніх документів Товариства;</w:t>
      </w:r>
      <w:bookmarkStart w:id="1" w:name="n351"/>
      <w:bookmarkEnd w:id="1"/>
      <w:r w:rsidRPr="00362B0C">
        <w:rPr>
          <w:rFonts w:ascii="Times New Roman" w:hAnsi="Times New Roman" w:cs="Times New Roman"/>
          <w:sz w:val="24"/>
          <w:szCs w:val="24"/>
        </w:rPr>
        <w:t xml:space="preserve"> виконувати рішення Загальних зборів акціонерів, інших органів Товариства;</w:t>
      </w:r>
      <w:bookmarkStart w:id="2" w:name="n352"/>
      <w:bookmarkEnd w:id="2"/>
      <w:r w:rsidRPr="00362B0C">
        <w:rPr>
          <w:rFonts w:ascii="Times New Roman" w:hAnsi="Times New Roman" w:cs="Times New Roman"/>
          <w:sz w:val="24"/>
          <w:szCs w:val="24"/>
        </w:rPr>
        <w:t xml:space="preserve"> виконувати свої зобов'язання перед Товариством, у тому числі пов'язані з майновою участю;</w:t>
      </w:r>
      <w:bookmarkStart w:id="3" w:name="n353"/>
      <w:bookmarkEnd w:id="3"/>
      <w:r w:rsidRPr="00362B0C">
        <w:rPr>
          <w:rFonts w:ascii="Times New Roman" w:hAnsi="Times New Roman" w:cs="Times New Roman"/>
          <w:sz w:val="24"/>
          <w:szCs w:val="24"/>
        </w:rPr>
        <w:t xml:space="preserve"> оплачувати акції у розмірі, в порядку та засобами, що передбачені Статутом Товариства;</w:t>
      </w:r>
      <w:bookmarkStart w:id="4" w:name="n354"/>
      <w:bookmarkEnd w:id="4"/>
      <w:r w:rsidRPr="00362B0C">
        <w:rPr>
          <w:rFonts w:ascii="Times New Roman" w:hAnsi="Times New Roman" w:cs="Times New Roman"/>
          <w:sz w:val="24"/>
          <w:szCs w:val="24"/>
        </w:rPr>
        <w:t xml:space="preserve"> не розголошувати комерційну таємницю та конфіденційну інформацію про діяльність Товариства.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4.9. Товариство забезпечує дотримання передбачених чинним законодавством прав та інтересів заінтересованих осіб, до яких належать працівники (як ті, що є акціонерами Товариства, так і ті, не є його акціонерами), клієнти, партнери, кредитори Товариства, територіальна громада,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на території якої знаходиться Товариство, відповідні державні органи та органи місцевого самоврядування.</w:t>
      </w:r>
    </w:p>
    <w:p w:rsidR="00240650" w:rsidRPr="00362B0C" w:rsidRDefault="00E05C73" w:rsidP="00757DA4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4.10. Товариство поважає права та враховує законні інтереси заінтересованих осіб (тобто осіб, які мають легітимний інтерес у діяльності Товариства і до яких передусім належать працівники, кредитори, клієнти, партнери, територіальна громада, на території якої розташоване Товариство, а також відповідні державні органи та органи місцевого самоврядування) та активно співпрацює з ними для створення добробуту, робочих місць та забезпечення фінансової стабільності Товариства.</w:t>
      </w:r>
    </w:p>
    <w:p w:rsidR="00240650" w:rsidRPr="00362B0C" w:rsidRDefault="00E05C73" w:rsidP="0055238C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4.11. З метою встановлення ефективних взаємовідносин з заінтересованими особами Товариство приділяє велику увагу вчасному розкриттю відповідної інформації, постійно підтримує готовність своєчасно і повністю виконувати взяті на себе зобов`язання за укладеними ним згідно з чинним законодавством України договорами.</w:t>
      </w:r>
    </w:p>
    <w:p w:rsidR="00240650" w:rsidRPr="00362B0C" w:rsidRDefault="00E05C73" w:rsidP="0055238C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4.12. Діяльність Товариства скерована на максимальне задоволення потреб своїх страхувальників у якісних послугах зі страхування та встановлення взаємовигідної та плідної співпраці.</w:t>
      </w:r>
      <w:r w:rsidR="0055238C" w:rsidRPr="00362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50" w:rsidRPr="00362B0C" w:rsidRDefault="00E05C73" w:rsidP="0055238C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4.13. Товариство співпрацює з міжнародними і українськими страховими/</w:t>
      </w:r>
      <w:proofErr w:type="spellStart"/>
      <w:r w:rsidRPr="00362B0C">
        <w:rPr>
          <w:rFonts w:ascii="Times New Roman" w:hAnsi="Times New Roman" w:cs="Times New Roman"/>
          <w:sz w:val="24"/>
          <w:szCs w:val="24"/>
        </w:rPr>
        <w:t>перестраховими</w:t>
      </w:r>
      <w:proofErr w:type="spellEnd"/>
      <w:r w:rsidRPr="00362B0C">
        <w:rPr>
          <w:rFonts w:ascii="Times New Roman" w:hAnsi="Times New Roman" w:cs="Times New Roman"/>
          <w:sz w:val="24"/>
          <w:szCs w:val="24"/>
        </w:rPr>
        <w:t xml:space="preserve"> компаніями з метою забезпечення власного розвитку та стабільності, впровадження кращого світового досвіду, покращення ефективності своєї діяльності та зміцнення системи страхування України.</w:t>
      </w:r>
    </w:p>
    <w:p w:rsidR="00240650" w:rsidRPr="00362B0C" w:rsidRDefault="00E05C73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>4.14. Однією</w:t>
      </w:r>
      <w:r w:rsidRPr="00362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з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передумов</w:t>
      </w:r>
      <w:r w:rsidRPr="00362B0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своєї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успішної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діяльності</w:t>
      </w:r>
      <w:r w:rsidRPr="00362B0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Товариство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pacing w:val="-2"/>
          <w:sz w:val="24"/>
          <w:szCs w:val="24"/>
        </w:rPr>
        <w:t>вважає</w:t>
      </w:r>
      <w:r w:rsidRPr="00362B0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професійний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pacing w:val="-3"/>
          <w:sz w:val="24"/>
          <w:szCs w:val="24"/>
        </w:rPr>
        <w:t>та</w:t>
      </w:r>
      <w:r w:rsidRPr="00362B0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особистий розвиток власного персоналу. Товариство створює такі умови, які дозволяють його працівникам розвивати</w:t>
      </w:r>
      <w:r w:rsidRPr="00362B0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їхні</w:t>
      </w:r>
      <w:r w:rsidRPr="00362B0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навички</w:t>
      </w:r>
      <w:r w:rsidRPr="00362B0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та</w:t>
      </w:r>
      <w:r w:rsidRPr="00362B0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62B0C">
        <w:rPr>
          <w:rFonts w:ascii="Times New Roman" w:hAnsi="Times New Roman" w:cs="Times New Roman"/>
          <w:sz w:val="24"/>
          <w:szCs w:val="24"/>
        </w:rPr>
        <w:t>здібності.</w:t>
      </w:r>
    </w:p>
    <w:p w:rsidR="00240650" w:rsidRPr="00362B0C" w:rsidRDefault="00E05C73">
      <w:pPr>
        <w:pStyle w:val="a5"/>
        <w:ind w:right="115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sz w:val="24"/>
          <w:szCs w:val="24"/>
        </w:rPr>
        <w:t xml:space="preserve">4.15. Товариство усвідомлює свою соціальну відповідальність перед акціонерами, </w:t>
      </w:r>
      <w:r w:rsidRPr="00362B0C">
        <w:rPr>
          <w:rFonts w:ascii="Times New Roman" w:hAnsi="Times New Roman" w:cs="Times New Roman"/>
          <w:sz w:val="24"/>
          <w:szCs w:val="24"/>
        </w:rPr>
        <w:lastRenderedPageBreak/>
        <w:t>клієнтами, партнерами, органами влади, місцевою громадою та іншими заінтересованими особами, і при здійсненні своєї діяльності намагається враховувати їхні законні інтереси, брати активну участь у вирішенні суспільних проблем та питань охорони навколишнього середовища. Товариство вживає заходів для постійного вдосконалення корпоративного управління при здійсненні своєї діяльності.</w:t>
      </w:r>
    </w:p>
    <w:p w:rsidR="00240650" w:rsidRPr="00362B0C" w:rsidRDefault="00240650">
      <w:pPr>
        <w:pStyle w:val="a5"/>
        <w:ind w:right="115"/>
        <w:rPr>
          <w:rFonts w:ascii="Times New Roman" w:hAnsi="Times New Roman" w:cs="Times New Roman"/>
          <w:spacing w:val="-15"/>
          <w:sz w:val="24"/>
          <w:szCs w:val="24"/>
        </w:rPr>
      </w:pPr>
    </w:p>
    <w:p w:rsidR="00240650" w:rsidRPr="00362B0C" w:rsidRDefault="00E05C73">
      <w:pPr>
        <w:pStyle w:val="a5"/>
        <w:ind w:righ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5. НАГЛЯДОВА РАДА ТА ГЕНЕРАЛЬНИЙ ДИРЕКТОР ТОВАРИСТВА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Наглядова рада Товариства є колегіальним органом, що здійснює захист прав акціонерів Товариства і в межах компетенції, визначеної Статутом та чинним законодавством, здійснює управління Товариством, а також контролює та регулює діяльність Генерального директора і керується в своїй діяльності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Статутом і Положенням про Наглядову раду.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5.2. Статут Товариства та Положення про Наглядову раду чітко визначають компетенцію Наглядової ради, у тому числі перелік повноважень, які відносяться до виключної компетенції Наглядової ради.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5.3. До складу Наглядової ради обираються акціонери або особи, які представляють їхні інтереси, або незалежні директори. Члени Наглядової ради не можуть бути Генеральним директором або Ревізором.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5.4. Строк повноважень членів Наглядової ради, порядок їх обрання та припинення повноважень, кількісний склад Наглядової ради визначені Статутом та Положенням про Наглядову раду.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5.5. Засідання Наглядової ради проводяться по мірі необхідності, але не рідше одного разу на квартал.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5.6. Наглядова рада має право обрати корпоративного секретаря. Корпоративний секретар є особою, яка відповідає за взаємодію Товариства з акціонерами та інвесторами.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5.7. Метою діяльності Наглядової ради є захист прав та інтересів акціонерів Товариства, забезпечення реалізації статутних завдань Товариства, розробка стратегії, спрямованої на підвищення прибутковості та конкурентоспроможності Товариства.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5.8. Наглядова рада звітує перед Загальними зборами про свою діяльність, та вжиті нею заходи, спрямовані на досягнення мети діяльності Товариства. </w:t>
      </w:r>
    </w:p>
    <w:p w:rsidR="00240650" w:rsidRPr="00362B0C" w:rsidRDefault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5.9. Члени Наглядової ради несуть відповідальність перед Товариством за збитки, завдані йому своїми діями (бездіяльністю), згідно з чинним законодавством.</w:t>
      </w:r>
    </w:p>
    <w:p w:rsidR="00240650" w:rsidRPr="00362B0C" w:rsidRDefault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5.10. Члени Наглядової ради зобов’язані особисто брати участь у засіданнях Наглядової ради; діяти в інтересах Товариства, проявляти сумлінність і обачливість; керуватися у своїй діяльності чинним законодавством України, Статутом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та іншими внутрішніми документами Товариства;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виконувати рішення, прийняті Загальними зборами та Наглядовою радою; не розголошувати конфіденційну інформацію та комерційну таємницю про діяльність Товариства,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осіб.</w:t>
      </w:r>
    </w:p>
    <w:p w:rsidR="00240650" w:rsidRPr="00362B0C" w:rsidRDefault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5.11. У Товаристві діє одноосібний виконавчий орган - Генеральний директор Товариства, який в межах компетенції, визначеної Статутом, Положенням про Генерального директора та чинним законодавством, здійснює управління поточною діяльністю Товариства. До компетенції Генерального директора належить вирішення всіх питань, пов'язаних з керівництвом поточною діяльністю Товариства, крім питань, що належать до виключної компетенції Загальних зборів акціонерів та Наглядової ради.</w:t>
      </w:r>
    </w:p>
    <w:p w:rsidR="00240650" w:rsidRPr="00362B0C" w:rsidRDefault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5.12. Обрання та припинення повноважень Генерального директора належить до компетенції Наглядової ради.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</w:p>
    <w:p w:rsidR="00240650" w:rsidRPr="00362B0C" w:rsidRDefault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5.13. Статут Товариства та Положення про Генерального директора чітко визначають компетенцію Генерального директора, у тому числі обмеження: перелік питань, з яких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 xml:space="preserve">Генеральний директор не має права здійснювати дії та вчиняти правочини без попередньої письмової згоди чи рішення Загальних зборів акціонерів чи Наглядової ради.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5.14. Генеральний директор підзвітний Загальним зборам акціонерів і Наглядовій раді, він організує виконання їх рішень і відповідає за ефективність роботи Товариства.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lastRenderedPageBreak/>
        <w:t>5.15. Генеральний директор відповідає за результати фінансово-господарської діяльності Товариства. Він несе особисту відповідальність за виконання рішень Загальних зборів акціонерів та Наглядової ради.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5.14.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Генеральний директор несе відповідальність перед Товариством за збитки, завдані йому своїми діями (бездіяльністю) згідно з чинним законодавством.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5.16. Наглядова рада і Генеральний директор мають різні функції та сфери відповідальності, вони ефективно співпрацюють на користь Товариства.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5.17. Наглядова рада і Генеральний директор у межах своїх повноважень вживають усіх заходів для своєчасного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 xml:space="preserve">обміну інформацією та ефективної взаємодії з метою досягнення Товариством найкращих результатів діяльності. </w:t>
      </w:r>
    </w:p>
    <w:p w:rsidR="00240650" w:rsidRPr="00362B0C" w:rsidRDefault="00240650">
      <w:pPr>
        <w:pStyle w:val="ae"/>
        <w:tabs>
          <w:tab w:val="left" w:pos="567"/>
        </w:tabs>
        <w:ind w:firstLine="567"/>
        <w:jc w:val="both"/>
        <w:rPr>
          <w:rStyle w:val="FontStyle"/>
          <w:rFonts w:ascii="Times New Roman" w:hAnsi="Times New Roman" w:cs="Times New Roman"/>
          <w:sz w:val="24"/>
          <w:szCs w:val="24"/>
          <w:lang w:eastAsia="uk-UA"/>
        </w:rPr>
      </w:pPr>
    </w:p>
    <w:p w:rsidR="00240650" w:rsidRPr="00362B0C" w:rsidRDefault="00E05C73">
      <w:pPr>
        <w:tabs>
          <w:tab w:val="left" w:pos="822"/>
          <w:tab w:val="left" w:pos="823"/>
        </w:tabs>
        <w:ind w:left="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6. РОЗКРИТТЯ ІНФОРМАЦІЇ ТА ПРОЗОРІСТЬ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6.1. Товариство докладає особливих зусиль для реалізації одного з основних принципів корпоративного управління - забезпечення розкриття інформації та прозорості своєї діяльності.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6.2. Товариство обирає стратегію забезпечення інформаційної відкритості та прозорості, яка є запорукою сталого росту інвестиційної привабливості та ринкової вартості акцій.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6.3. Товариство розкриває достовірну інформацію про свою діяльність відповідно до чинного законодавства та Статуту з періодичністю, що забезпечує своєчасне</w:t>
      </w:r>
      <w:r w:rsidR="00757DA4" w:rsidRPr="00362B0C">
        <w:rPr>
          <w:rFonts w:ascii="Times New Roman" w:hAnsi="Times New Roman" w:cs="Times New Roman"/>
          <w:lang w:val="uk-UA" w:eastAsia="uk-UA"/>
        </w:rPr>
        <w:t xml:space="preserve"> повідомлення заінтересованих осі</w:t>
      </w:r>
      <w:r w:rsidRPr="00362B0C">
        <w:rPr>
          <w:rFonts w:ascii="Times New Roman" w:hAnsi="Times New Roman" w:cs="Times New Roman"/>
          <w:lang w:val="uk-UA" w:eastAsia="uk-UA"/>
        </w:rPr>
        <w:t>б, у тому числі клієнтів, про умови надання Товариством послуг у сфері страхування, про результати фінансово-господарської діяльності Товариства,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про суттєві зміни та інші питання, що стосуються діяльності Товариства.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6.4. Інформація, що розкривається Товариством, є достовірною, повною, об'єктивною і зрозумілою, тобто такою, що сприяє чіткому та повному уявленню про дійсний фінансовий стан Товариства та результати його діяльності, дає впевненість акціонерам у достатності такої інформації для ухвалення своїх інвестиційних рішень.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6.5. Об'єктивність, достовірність та зрозумілість інформації про фінансові результати та фінансовий стан Товариства,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що розкривається Товариством, забезпечується шляхом здійснення ефективного внутрішнього контролю, проведення незалежного зовнішнього аудиту, підготовки фінансової звітності за національними та, у визначених законом випадках, за міжнародними стандартами фінансової звітності.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6.6. Підсумки діяльності Товариства відображаються у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квартальних і річних балансах, звітах, а також у річному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звіті, які оприлюднюються Товариством у строки та формі згідно з вимогами чинного законодавства. Достовірність річної та фінансової звітності підтверджується незалежним аудитором (аудиторською фірмою).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/>
        </w:rPr>
        <w:t xml:space="preserve">6.7. З метою забезпечення доступу до інформації акціонерам, клієнтам Товариства та іншим заінтересованим особам Товариство на власному веб-сайті емітента цінних паперів </w:t>
      </w:r>
      <w:hyperlink r:id="rId4" w:history="1">
        <w:r w:rsidR="0081059E" w:rsidRPr="00362B0C">
          <w:rPr>
            <w:rStyle w:val="a3"/>
            <w:rFonts w:ascii="Times New Roman" w:hAnsi="Times New Roman" w:cs="Times New Roman"/>
            <w:lang w:val="uk-UA"/>
          </w:rPr>
          <w:t>http://grandwis.pat.ua</w:t>
        </w:r>
      </w:hyperlink>
      <w:r w:rsidRPr="00362B0C">
        <w:rPr>
          <w:rFonts w:ascii="Times New Roman" w:hAnsi="Times New Roman" w:cs="Times New Roman"/>
          <w:lang w:val="uk-UA"/>
        </w:rPr>
        <w:t xml:space="preserve"> та </w:t>
      </w:r>
      <w:hyperlink r:id="rId5">
        <w:r w:rsidRPr="00362B0C">
          <w:rPr>
            <w:rFonts w:ascii="Times New Roman" w:hAnsi="Times New Roman" w:cs="Times New Roman"/>
            <w:lang w:val="uk-UA"/>
          </w:rPr>
          <w:t>http://www.grandwis.com.ua</w:t>
        </w:r>
      </w:hyperlink>
      <w:r w:rsidRPr="00362B0C">
        <w:rPr>
          <w:rFonts w:ascii="Times New Roman" w:hAnsi="Times New Roman" w:cs="Times New Roman"/>
          <w:lang w:val="uk-UA"/>
        </w:rPr>
        <w:t xml:space="preserve"> розміщує інформацію, що </w:t>
      </w:r>
      <w:r w:rsidRPr="00362B0C">
        <w:rPr>
          <w:rFonts w:ascii="Times New Roman" w:hAnsi="Times New Roman" w:cs="Times New Roman"/>
          <w:lang w:val="uk-UA" w:eastAsia="uk-UA"/>
        </w:rPr>
        <w:t>підлягає оприлюдненню згідно з вимогами чинного законодавства, а також може розкривати іншу інформацію, що стосується діяльності Товариства. Така інформація є структурованою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та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доступною.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6.8. Товариство надає інформацію про свою діяльність, умови надання послуг на обґрунтований запит особи в порядку, визначеному чинним законодавством.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6.9. Відповідно до законодавства України Товариство забезпечує захист конфіденційної інформації, у т</w:t>
      </w:r>
      <w:r w:rsidR="0081059E" w:rsidRPr="00362B0C">
        <w:rPr>
          <w:rFonts w:ascii="Times New Roman" w:hAnsi="Times New Roman" w:cs="Times New Roman"/>
          <w:lang w:val="uk-UA" w:eastAsia="uk-UA"/>
        </w:rPr>
        <w:t xml:space="preserve">ому </w:t>
      </w:r>
      <w:r w:rsidRPr="00362B0C">
        <w:rPr>
          <w:rFonts w:ascii="Times New Roman" w:hAnsi="Times New Roman" w:cs="Times New Roman"/>
          <w:lang w:val="uk-UA" w:eastAsia="uk-UA"/>
        </w:rPr>
        <w:t>ч</w:t>
      </w:r>
      <w:r w:rsidR="0081059E" w:rsidRPr="00362B0C">
        <w:rPr>
          <w:rFonts w:ascii="Times New Roman" w:hAnsi="Times New Roman" w:cs="Times New Roman"/>
          <w:lang w:val="uk-UA" w:eastAsia="uk-UA"/>
        </w:rPr>
        <w:t>ислі</w:t>
      </w:r>
      <w:r w:rsidRPr="00362B0C">
        <w:rPr>
          <w:rFonts w:ascii="Times New Roman" w:hAnsi="Times New Roman" w:cs="Times New Roman"/>
          <w:lang w:val="uk-UA" w:eastAsia="uk-UA"/>
        </w:rPr>
        <w:t xml:space="preserve"> комерційної таємниці. Товариство надає інформацію про свою діяльність з метою забезпечення прозорості діяльності, дотримуючись при цьому вимог законодавства щодо захисту конфіденційної інформації (комерційної таємниці).</w:t>
      </w:r>
    </w:p>
    <w:p w:rsidR="00240650" w:rsidRPr="00362B0C" w:rsidRDefault="00240650">
      <w:pPr>
        <w:pStyle w:val="aa"/>
        <w:tabs>
          <w:tab w:val="left" w:pos="804"/>
        </w:tabs>
        <w:ind w:left="116" w:right="122" w:firstLine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40650" w:rsidRPr="00362B0C" w:rsidRDefault="00E05C73">
      <w:pPr>
        <w:pStyle w:val="3"/>
        <w:tabs>
          <w:tab w:val="left" w:pos="828"/>
        </w:tabs>
        <w:ind w:left="139" w:right="109" w:firstLine="0"/>
        <w:jc w:val="center"/>
        <w:rPr>
          <w:sz w:val="24"/>
          <w:szCs w:val="24"/>
        </w:rPr>
      </w:pPr>
      <w:r w:rsidRPr="00362B0C">
        <w:rPr>
          <w:sz w:val="24"/>
          <w:szCs w:val="24"/>
        </w:rPr>
        <w:t>7. ПОПЕРЕДЖЕННЯ КОНФЛІКТУ ІНТЕРЕСIВ,</w:t>
      </w:r>
    </w:p>
    <w:p w:rsidR="00240650" w:rsidRPr="00362B0C" w:rsidRDefault="00E05C73">
      <w:pPr>
        <w:pStyle w:val="3"/>
        <w:tabs>
          <w:tab w:val="left" w:pos="828"/>
        </w:tabs>
        <w:ind w:left="139" w:right="109" w:firstLine="0"/>
        <w:jc w:val="center"/>
        <w:rPr>
          <w:sz w:val="24"/>
          <w:szCs w:val="24"/>
        </w:rPr>
      </w:pPr>
      <w:r w:rsidRPr="00362B0C">
        <w:rPr>
          <w:sz w:val="24"/>
          <w:szCs w:val="24"/>
        </w:rPr>
        <w:t xml:space="preserve"> ПРАВОЧИНИ, У ВЧИНЕННІ</w:t>
      </w:r>
      <w:r w:rsidR="0055238C" w:rsidRPr="00362B0C">
        <w:rPr>
          <w:sz w:val="24"/>
          <w:szCs w:val="24"/>
        </w:rPr>
        <w:t xml:space="preserve"> </w:t>
      </w:r>
      <w:r w:rsidRPr="00362B0C">
        <w:rPr>
          <w:sz w:val="24"/>
          <w:szCs w:val="24"/>
        </w:rPr>
        <w:t>ЯКИХ Є ЗАІНТЕРЕСОВАНІСТЬ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7.1. Посадові особи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 xml:space="preserve">органів Товариства: Голова та члени Наглядової ради, Генеральний директор, Ревізор, а також інші працівники Товариства зобов’язані у своїй роботі запобігати конфлікту інтересів, який полягає в наявності у особи приватного інтересу при виконанні посадових (службових) повноважень, що може вплинути на об’єктивність чи неупередженість прийняття нею рішень, або на вчинення чи невчинення дій під час виконання зазначених </w:t>
      </w:r>
      <w:r w:rsidRPr="00362B0C">
        <w:rPr>
          <w:rFonts w:ascii="Times New Roman" w:hAnsi="Times New Roman" w:cs="Times New Roman"/>
          <w:lang w:val="uk-UA" w:eastAsia="uk-UA"/>
        </w:rPr>
        <w:lastRenderedPageBreak/>
        <w:t>повноважень, не брати участі в прийнятті рішень, якщо конфлікт інтересів не дає їм змоги належним чином виконувати свої обов’язки.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7.2. Посадові особи та інші працівники Товариства зобов’язані розкривати інформацію про наявні або потенційні конфлікти між особистими інтересами та посадовими для здійснення їх оцінки з метою запобігання заподіяння шкоди інтересам Товариства.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7.3. Законом </w:t>
      </w:r>
      <w:proofErr w:type="spellStart"/>
      <w:r w:rsidRPr="00362B0C">
        <w:rPr>
          <w:rFonts w:ascii="Times New Roman" w:hAnsi="Times New Roman" w:cs="Times New Roman"/>
          <w:lang w:val="uk-UA" w:eastAsia="uk-UA"/>
        </w:rPr>
        <w:t>України</w:t>
      </w:r>
      <w:r w:rsidR="0081059E" w:rsidRPr="00362B0C">
        <w:rPr>
          <w:rFonts w:ascii="Times New Roman" w:hAnsi="Times New Roman" w:cs="Times New Roman"/>
          <w:lang w:val="uk-UA" w:eastAsia="uk-UA"/>
        </w:rPr>
        <w:t>"</w:t>
      </w:r>
      <w:r w:rsidRPr="00362B0C">
        <w:rPr>
          <w:rFonts w:ascii="Times New Roman" w:hAnsi="Times New Roman" w:cs="Times New Roman"/>
          <w:lang w:val="uk-UA" w:eastAsia="uk-UA"/>
        </w:rPr>
        <w:t>Про</w:t>
      </w:r>
      <w:proofErr w:type="spellEnd"/>
      <w:r w:rsidRPr="00362B0C">
        <w:rPr>
          <w:rFonts w:ascii="Times New Roman" w:hAnsi="Times New Roman" w:cs="Times New Roman"/>
          <w:lang w:val="uk-UA" w:eastAsia="uk-UA"/>
        </w:rPr>
        <w:t xml:space="preserve"> акціонерні товариства" і Статутом Товариства встановлений окремий порядок вчинення правочинів із заінтересованістю, який передбачає необхідність попереднього отримання згоди Наглядової ради на вчинення правочину із заінтересованістю, та право Наглядової ради — не надати таку згоду. А в окремих випадках, передбачених Статутом, вчинення правочину із заінтересованістю вимагає попередньої згоди Загальних зборів акціонерів.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7.4. Крім того, Статутом передбачені обмеження на голосування члена Наглядової ради, який має заінтересованість, а саме: якщо член Наглядової ради є заінтересованим у вчиненні правочину з Товариством, то він не бере участь у голосуванні (утримується) з питання вчинення такого правочину.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7.5. Посадові особи органів Товариства зобов'язані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діяти в інтересах Товариства, проявляти сумлінність і обачливість.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7.6. Посадові особи органів Товариства повинні розкривати інформацію про наявність у них конфлікту інтересів (заінтересованості) стосовно будь-якого рішення (правочину).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7.7. Посадові особи органів Товариства несуть відповідальність за збитки завдані Товариству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своїми діями чи бездіяльністю згідно з чинним законодавством.</w:t>
      </w:r>
    </w:p>
    <w:p w:rsidR="00E05C73" w:rsidRPr="00362B0C" w:rsidRDefault="00E05C73">
      <w:pPr>
        <w:pStyle w:val="aa"/>
        <w:tabs>
          <w:tab w:val="left" w:pos="789"/>
          <w:tab w:val="left" w:pos="853"/>
        </w:tabs>
        <w:ind w:left="116" w:right="125" w:firstLine="0"/>
        <w:rPr>
          <w:rFonts w:ascii="Times New Roman" w:hAnsi="Times New Roman" w:cs="Times New Roman"/>
          <w:sz w:val="24"/>
          <w:szCs w:val="24"/>
        </w:rPr>
      </w:pPr>
    </w:p>
    <w:p w:rsidR="00240650" w:rsidRPr="00362B0C" w:rsidRDefault="00E05C73">
      <w:pPr>
        <w:pStyle w:val="a5"/>
        <w:ind w:left="0" w:righ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8. ЕФЕКТИВНЕ УПРАВЛІННЯ ТА</w:t>
      </w:r>
    </w:p>
    <w:p w:rsidR="00240650" w:rsidRPr="00362B0C" w:rsidRDefault="00E05C73">
      <w:pPr>
        <w:pStyle w:val="a5"/>
        <w:ind w:left="0" w:righ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bCs/>
          <w:sz w:val="24"/>
          <w:szCs w:val="24"/>
        </w:rPr>
        <w:t>КОНТРОЛЬ ЗА ДІЯЛЬНІСТЮ ТОВАРИСТВА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8.1. Забезпечення ефективного управління Товариством здійснюється завдяки чіткому розмежуванню функцій та відповідальності органів управління Товариством, створенню дієвої системи контролю за фінансово-господарською діяльністю Товариства, орієнтованості на потреби клієнтів та сучасні тенденції розвитку страхового бізнесу.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8.2. Товариство реалізує свої завдання, зафіксовані у Статуті та внутрішніх документах, з дотриманням чинного законодавства, з урахуванням кращих практик у сфері страхового бізнесу та корпоративного управління.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8.3. Важливу роль у забезпеченні належного функціонування системи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контролю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 xml:space="preserve">за </w:t>
      </w:r>
      <w:r w:rsidR="00757DA4" w:rsidRPr="00362B0C">
        <w:rPr>
          <w:rFonts w:ascii="Times New Roman" w:hAnsi="Times New Roman" w:cs="Times New Roman"/>
          <w:lang w:val="uk-UA" w:eastAsia="uk-UA"/>
        </w:rPr>
        <w:t>діяльністю</w:t>
      </w:r>
      <w:r w:rsidRPr="00362B0C">
        <w:rPr>
          <w:rFonts w:ascii="Times New Roman" w:hAnsi="Times New Roman" w:cs="Times New Roman"/>
          <w:lang w:val="uk-UA" w:eastAsia="uk-UA"/>
        </w:rPr>
        <w:t xml:space="preserve"> Товариства відіграють внутрішній контроль (аудит) у Товаристві та зовнішній аудит.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8.4. Головною метою запровадження системи контролю за діяльністю Товариства є захист інвестицій акціонерів та активів Товариства.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8.5. Для проведення перевірки фінансово-господарської діяльності Товариства Загальні збори акціонерів можуть обирати Ревізора, який може проводити перевірки фінансово-господарської діяльності Товариства за результатами фінансового року та спеціальні перевірки фінансово-господарської діяльності Товариства. Генеральний директор забезпечує доступ Ревізора до інформації в межах, що визначаються чинним законодавством та Положенням про Ревізора, затвердженим Загальними зборами акціонерів. Ревізор підзвітний Загальним зборам акціонерів. Про результати перевірок (ревізій) Ревізор інформує Загальні збори акціонерів і Наглядову раду. 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8.6. Наглядова рада Товариства забезпечує належне функціонування системи внутрішнього контролю, а також нагляду і контролю зі сторони внутрішніх органів контролю Товариства та зовнішніх аудиторів.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8.7. Внутрішній аудит є діяльністю з надання незалежних та об'єктивних гарантій і консультацій, спрямованих на вдосконалення діяльності Товариства, досягнення поставлених цілей, використовуючи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систематизований і послідовний підхід до оцінки і підвищення ефективності процесів управління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  <w:r w:rsidRPr="00362B0C">
        <w:rPr>
          <w:rFonts w:ascii="Times New Roman" w:hAnsi="Times New Roman" w:cs="Times New Roman"/>
          <w:lang w:val="uk-UA" w:eastAsia="uk-UA"/>
        </w:rPr>
        <w:t>ризиками, контролю та корпоративного управління.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8.8. Основними функціями внутрішнього аудиту (контролю) є: 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- нагляд за поточною діяльністю Товариства;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- контроль за дотриманням чинного законодавства України та рішень органів управління Товариства;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lastRenderedPageBreak/>
        <w:t>- перевірка результатів поточної фінансової діяльності Товариства;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- аналіз інформації про діяльність Товариства, професійну діяльність його працівників, випадки перевищення повноважень посадовими особами Товариства</w:t>
      </w:r>
      <w:bookmarkStart w:id="5" w:name="n289"/>
      <w:bookmarkEnd w:id="5"/>
      <w:r w:rsidRPr="00362B0C">
        <w:rPr>
          <w:rFonts w:ascii="Times New Roman" w:hAnsi="Times New Roman" w:cs="Times New Roman"/>
          <w:lang w:val="uk-UA" w:eastAsia="uk-UA"/>
        </w:rPr>
        <w:t>;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- виконання інших передбачених законами функцій, пов'язаних з наглядом та контролем за діяльністю Товариства.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8.9. Принципами діяльності внутрішнього аудиту (контролю) є чесність, об’єктивність, конфіденційність, професійна компетентність.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8.10. Внутрішній аудит (контроль) здійснюється службою внутрішнього аудиту (контролю), представленою структурним підрозділом або окремою посадовою особою, що призначається Наглядовою радою Товариства, підпорядковується Наглядовій раді та звітує перед нею.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8.11. У випадках, передбачених чинним законодавством України, з метою підтвердження результатів фінансової діяльності, але не рідше одного разу на рік, діяльність Товариства підлягає перевірці обраним Наглядовою радою незалежним зовнішнім аудитором (аудиторською фірмою).</w:t>
      </w:r>
      <w:r w:rsidR="0055238C" w:rsidRPr="00362B0C">
        <w:rPr>
          <w:rFonts w:ascii="Times New Roman" w:hAnsi="Times New Roman" w:cs="Times New Roman"/>
          <w:lang w:val="uk-UA" w:eastAsia="uk-UA"/>
        </w:rPr>
        <w:t xml:space="preserve"> 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strike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 xml:space="preserve">Для відбору суб’єктів аудиторської діяльності, які можуть бути призначені для надання послуг з обов’язкового аудиту фінансової звітності, Товариство проводить конкурс. 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Посадові особи Товариства зобов’язані забезпечити доступ незалежного аудитора (аудиторської фірми) до всіх документів, необхідних для перевірки результатів фінансово-господарської діяльності Товариства.</w:t>
      </w:r>
    </w:p>
    <w:p w:rsidR="00240650" w:rsidRPr="00362B0C" w:rsidRDefault="00E05C73" w:rsidP="00E05C73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8.12. Моніторинг фінансової діяльності Товариства здійснюється з врахуванням вимог законодавства України про запобігання легалізації (відмиванню) доходів, отриманих злочинним шляхом. Для цього в Товаристві призначається відповідальна особа, яка відповідає за проведення внутрішнього фінансового моніторингу в Товаристві.</w:t>
      </w:r>
    </w:p>
    <w:p w:rsidR="00240650" w:rsidRPr="00362B0C" w:rsidRDefault="00240650">
      <w:pPr>
        <w:pStyle w:val="a5"/>
        <w:spacing w:line="252" w:lineRule="exac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40650" w:rsidRPr="00362B0C" w:rsidRDefault="00E05C73">
      <w:pPr>
        <w:pStyle w:val="a5"/>
        <w:spacing w:line="252" w:lineRule="exac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B0C">
        <w:rPr>
          <w:rFonts w:ascii="Times New Roman" w:hAnsi="Times New Roman" w:cs="Times New Roman"/>
          <w:b/>
          <w:sz w:val="24"/>
          <w:szCs w:val="24"/>
        </w:rPr>
        <w:t>9. ЗАКЛЮЧНІ ПОЛОЖЕННЯ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9.1. Цей Кодекс корпоративного управління Товариства набирає чинності з моменту його затвердження Загальними зборами акціонерів.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9.2. Якщо зі зміною законодавства України чи внесенням змін до Статуту Товариства будь-які положення цього Кодексу суперечитимуть таким змінам, то такі положення Кодексу втрачають чинність і до внесення відповідних змін до цього Кодексу Товариство керуватиметься чинним законодавством України та Статутом Товариства.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9.3. Зміни та доповнення до цього Кодексу можуть вноситись на розгляд Загальних зборів акціонерів органами управління Товариства в зв’язку зі змінами в законодавстві України, внесенням змін до статуту Товариства, розвитком практики корпоративного управління.</w:t>
      </w:r>
    </w:p>
    <w:p w:rsidR="00240650" w:rsidRPr="00362B0C" w:rsidRDefault="00E05C73" w:rsidP="00757DA4">
      <w:pPr>
        <w:pStyle w:val="ParagraphStyle"/>
        <w:tabs>
          <w:tab w:val="left" w:pos="567"/>
        </w:tabs>
        <w:ind w:firstLine="539"/>
        <w:jc w:val="both"/>
        <w:rPr>
          <w:rFonts w:ascii="Times New Roman" w:hAnsi="Times New Roman" w:cs="Times New Roman"/>
          <w:lang w:val="uk-UA" w:eastAsia="uk-UA"/>
        </w:rPr>
      </w:pPr>
      <w:r w:rsidRPr="00362B0C">
        <w:rPr>
          <w:rFonts w:ascii="Times New Roman" w:hAnsi="Times New Roman" w:cs="Times New Roman"/>
          <w:lang w:val="uk-UA" w:eastAsia="uk-UA"/>
        </w:rPr>
        <w:t>9.4. Зміни до цього Кодексу набирають чинності з моменту затвердження їх Загальними зборами акціонерів.</w:t>
      </w:r>
    </w:p>
    <w:p w:rsidR="0081059E" w:rsidRPr="00362B0C" w:rsidRDefault="0081059E" w:rsidP="0081059E">
      <w:pPr>
        <w:pStyle w:val="af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p w:rsidR="0081059E" w:rsidRPr="00362B0C" w:rsidRDefault="0081059E" w:rsidP="0081059E">
      <w:pPr>
        <w:pStyle w:val="af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lang w:val="uk-UA"/>
        </w:rPr>
      </w:pPr>
    </w:p>
    <w:p w:rsidR="0081059E" w:rsidRPr="00362B0C" w:rsidRDefault="0081059E" w:rsidP="0081059E">
      <w:pPr>
        <w:tabs>
          <w:tab w:val="left" w:pos="567"/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 w:rsidRPr="00362B0C">
        <w:rPr>
          <w:rFonts w:ascii="Times New Roman CYR" w:hAnsi="Times New Roman CYR"/>
          <w:sz w:val="24"/>
          <w:szCs w:val="24"/>
        </w:rPr>
        <w:t>Головуючий</w:t>
      </w:r>
      <w:r w:rsidRPr="00362B0C">
        <w:rPr>
          <w:rFonts w:ascii="Times New Roman CYR" w:hAnsi="Times New Roman CYR"/>
          <w:sz w:val="24"/>
          <w:szCs w:val="24"/>
        </w:rPr>
        <w:tab/>
        <w:t>Д.В. Федоров</w:t>
      </w:r>
    </w:p>
    <w:p w:rsidR="0081059E" w:rsidRPr="00362B0C" w:rsidRDefault="0081059E" w:rsidP="0081059E">
      <w:pPr>
        <w:tabs>
          <w:tab w:val="left" w:pos="567"/>
          <w:tab w:val="left" w:pos="6237"/>
        </w:tabs>
        <w:jc w:val="both"/>
        <w:rPr>
          <w:rFonts w:ascii="Times New Roman CYR" w:hAnsi="Times New Roman CYR"/>
          <w:sz w:val="24"/>
          <w:szCs w:val="24"/>
        </w:rPr>
      </w:pPr>
    </w:p>
    <w:p w:rsidR="0081059E" w:rsidRPr="00362B0C" w:rsidRDefault="0081059E" w:rsidP="0081059E">
      <w:pPr>
        <w:tabs>
          <w:tab w:val="left" w:pos="567"/>
          <w:tab w:val="left" w:pos="6237"/>
        </w:tabs>
        <w:jc w:val="both"/>
        <w:rPr>
          <w:rFonts w:ascii="Times New Roman CYR" w:hAnsi="Times New Roman CYR"/>
          <w:sz w:val="24"/>
          <w:szCs w:val="24"/>
        </w:rPr>
      </w:pPr>
    </w:p>
    <w:p w:rsidR="0081059E" w:rsidRPr="0081059E" w:rsidRDefault="0081059E" w:rsidP="0081059E">
      <w:pPr>
        <w:tabs>
          <w:tab w:val="left" w:pos="567"/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 w:rsidRPr="00362B0C">
        <w:rPr>
          <w:rFonts w:ascii="Times New Roman CYR" w:hAnsi="Times New Roman CYR"/>
          <w:sz w:val="24"/>
          <w:szCs w:val="24"/>
        </w:rPr>
        <w:t>Секретар</w:t>
      </w:r>
      <w:r w:rsidRPr="00362B0C">
        <w:rPr>
          <w:rFonts w:ascii="Times New Roman CYR" w:hAnsi="Times New Roman CYR"/>
          <w:sz w:val="24"/>
          <w:szCs w:val="24"/>
        </w:rPr>
        <w:tab/>
        <w:t xml:space="preserve">С.М. </w:t>
      </w:r>
      <w:proofErr w:type="spellStart"/>
      <w:r w:rsidRPr="00362B0C">
        <w:rPr>
          <w:rFonts w:ascii="Times New Roman CYR" w:hAnsi="Times New Roman CYR"/>
          <w:sz w:val="24"/>
          <w:szCs w:val="24"/>
        </w:rPr>
        <w:t>Матюшко</w:t>
      </w:r>
      <w:proofErr w:type="spellEnd"/>
    </w:p>
    <w:sectPr w:rsidR="0081059E" w:rsidRPr="0081059E" w:rsidSect="002F43D8">
      <w:pgSz w:w="11906" w:h="16838" w:code="9"/>
      <w:pgMar w:top="851" w:right="567" w:bottom="567" w:left="1418" w:header="284" w:footer="284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;Courier Ne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0650"/>
    <w:rsid w:val="00240650"/>
    <w:rsid w:val="002F43D8"/>
    <w:rsid w:val="00362B0C"/>
    <w:rsid w:val="004362E2"/>
    <w:rsid w:val="0055238C"/>
    <w:rsid w:val="00757DA4"/>
    <w:rsid w:val="0081059E"/>
    <w:rsid w:val="00924196"/>
    <w:rsid w:val="00DF6FB8"/>
    <w:rsid w:val="00E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D4701-1708-4AEB-BD7E-038981B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Arial" w:eastAsia="Arial" w:hAnsi="Arial" w:cs="Arial"/>
      <w:sz w:val="22"/>
      <w:lang w:val="uk-UA"/>
    </w:rPr>
  </w:style>
  <w:style w:type="paragraph" w:styleId="3">
    <w:name w:val="heading 3"/>
    <w:basedOn w:val="a"/>
    <w:qFormat/>
    <w:pPr>
      <w:ind w:left="822" w:hanging="726"/>
      <w:outlineLvl w:val="2"/>
    </w:pPr>
    <w:rPr>
      <w:rFonts w:ascii="Times New Roman" w:eastAsia="Times New Roman" w:hAnsi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pPr>
      <w:ind w:left="119" w:firstLine="542"/>
      <w:jc w:val="both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Title"/>
    <w:basedOn w:val="a"/>
    <w:uiPriority w:val="1"/>
    <w:qFormat/>
    <w:pPr>
      <w:spacing w:line="503" w:lineRule="exact"/>
      <w:ind w:left="878" w:right="771"/>
      <w:jc w:val="center"/>
    </w:pPr>
    <w:rPr>
      <w:sz w:val="44"/>
      <w:szCs w:val="44"/>
    </w:rPr>
  </w:style>
  <w:style w:type="paragraph" w:styleId="aa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4"/>
      <w:ind w:left="50"/>
    </w:pPr>
  </w:style>
  <w:style w:type="paragraph" w:customStyle="1" w:styleId="ab">
    <w:name w:val="Верхній і нижній колонтитули"/>
    <w:basedOn w:val="a"/>
    <w:qFormat/>
  </w:style>
  <w:style w:type="paragraph" w:styleId="ac">
    <w:name w:val="footer"/>
    <w:basedOn w:val="ab"/>
  </w:style>
  <w:style w:type="paragraph" w:customStyle="1" w:styleId="ad">
    <w:name w:val="Вміст рамки"/>
    <w:basedOn w:val="a"/>
    <w:qFormat/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Обычный (веб)"/>
    <w:basedOn w:val="a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Pr>
      <w:rFonts w:ascii="Courier New" w:eastAsia="Times New Roman" w:hAnsi="Courier New" w:cs="Courier New"/>
      <w:sz w:val="24"/>
      <w:szCs w:val="24"/>
      <w:lang w:val="ru-RU"/>
    </w:rPr>
  </w:style>
  <w:style w:type="paragraph" w:customStyle="1" w:styleId="af0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rsid w:val="0081059E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wis.com.ua/" TargetMode="External"/><Relationship Id="rId4" Type="http://schemas.openxmlformats.org/officeDocument/2006/relationships/hyperlink" Target="http://grandwis.pa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16938</Words>
  <Characters>9655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Corp_Codex_VIP</vt:lpstr>
    </vt:vector>
  </TitlesOfParts>
  <Company/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Corp_Codex_VIP</dc:title>
  <dc:subject/>
  <dc:creator/>
  <dc:description/>
  <cp:lastModifiedBy>Admin</cp:lastModifiedBy>
  <cp:revision>115</cp:revision>
  <cp:lastPrinted>2020-05-21T17:33:00Z</cp:lastPrinted>
  <dcterms:created xsi:type="dcterms:W3CDTF">2020-05-04T11:12:00Z</dcterms:created>
  <dcterms:modified xsi:type="dcterms:W3CDTF">2020-09-11T15:12:00Z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2019-04-22T00:00:00Z</vt:filetime>
  </property>
  <property fmtid="{D5CDD505-2E9C-101B-9397-08002B2CF9AE}" pid="4" name="Creator">
    <vt:lpwstr>PDF reDirect v2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